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B13449" w14:textId="695B6737" w:rsidR="002C0B2F" w:rsidRDefault="002C0B2F" w:rsidP="002C0B2F">
      <w:pPr>
        <w:pStyle w:val="CRCoverPage"/>
        <w:tabs>
          <w:tab w:val="right" w:pos="9639"/>
        </w:tabs>
        <w:spacing w:after="0"/>
        <w:rPr>
          <w:b/>
          <w:i/>
          <w:noProof/>
          <w:sz w:val="28"/>
        </w:rPr>
      </w:pPr>
      <w:bookmarkStart w:id="0" w:name="historyclause"/>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114</w:t>
        </w:r>
      </w:fldSimple>
      <w:r>
        <w:rPr>
          <w:b/>
          <w:i/>
          <w:noProof/>
          <w:sz w:val="28"/>
        </w:rPr>
        <w:tab/>
      </w:r>
      <w:fldSimple w:instr=" DOCPROPERTY  Tdoc#  \* MERGEFORMAT ">
        <w:r w:rsidRPr="002C0B2F">
          <w:rPr>
            <w:b/>
            <w:i/>
            <w:noProof/>
            <w:sz w:val="28"/>
            <w:lang w:val="en-US"/>
          </w:rPr>
          <w:t>R4-2500308</w:t>
        </w:r>
      </w:fldSimple>
    </w:p>
    <w:p w14:paraId="402F8A2B" w14:textId="77777777" w:rsidR="002C0B2F" w:rsidRPr="00056B4F" w:rsidRDefault="002C0B2F" w:rsidP="002C0B2F">
      <w:pPr>
        <w:tabs>
          <w:tab w:val="left" w:pos="2160"/>
        </w:tabs>
        <w:rPr>
          <w:rFonts w:ascii="Arial" w:hAnsi="Arial" w:cs="Arial"/>
          <w:b/>
        </w:rPr>
      </w:pPr>
      <w:r w:rsidRPr="00E6420C">
        <w:rPr>
          <w:rFonts w:ascii="Arial" w:hAnsi="Arial" w:cs="Arial"/>
          <w:sz w:val="24"/>
          <w:szCs w:val="24"/>
        </w:rPr>
        <w:fldChar w:fldCharType="begin"/>
      </w:r>
      <w:r w:rsidRPr="00E6420C">
        <w:rPr>
          <w:rFonts w:ascii="Arial" w:hAnsi="Arial" w:cs="Arial"/>
          <w:sz w:val="24"/>
          <w:szCs w:val="24"/>
        </w:rPr>
        <w:instrText xml:space="preserve"> DOCPROPERTY  Location  \* MERGEFORMAT </w:instrText>
      </w:r>
      <w:r w:rsidRPr="00E6420C">
        <w:rPr>
          <w:rFonts w:ascii="Arial" w:hAnsi="Arial" w:cs="Arial"/>
          <w:sz w:val="24"/>
          <w:szCs w:val="24"/>
        </w:rPr>
        <w:fldChar w:fldCharType="separate"/>
      </w:r>
      <w:r w:rsidRPr="00E6420C">
        <w:rPr>
          <w:rFonts w:ascii="Arial" w:hAnsi="Arial" w:cs="Arial"/>
          <w:b/>
          <w:noProof/>
          <w:sz w:val="24"/>
          <w:szCs w:val="24"/>
        </w:rPr>
        <w:t>Athens</w:t>
      </w:r>
      <w:r w:rsidRPr="00E6420C">
        <w:rPr>
          <w:rFonts w:ascii="Arial" w:hAnsi="Arial" w:cs="Arial"/>
          <w:b/>
          <w:noProof/>
          <w:sz w:val="24"/>
          <w:szCs w:val="24"/>
        </w:rPr>
        <w:fldChar w:fldCharType="end"/>
      </w:r>
      <w:r w:rsidRPr="00E6420C">
        <w:rPr>
          <w:rFonts w:ascii="Arial" w:hAnsi="Arial" w:cs="Arial"/>
          <w:b/>
          <w:noProof/>
          <w:sz w:val="24"/>
          <w:szCs w:val="24"/>
        </w:rPr>
        <w:t xml:space="preserve">, </w:t>
      </w:r>
      <w:r w:rsidRPr="00E6420C">
        <w:rPr>
          <w:rFonts w:ascii="Arial" w:hAnsi="Arial" w:cs="Arial"/>
          <w:sz w:val="24"/>
          <w:szCs w:val="24"/>
        </w:rPr>
        <w:fldChar w:fldCharType="begin"/>
      </w:r>
      <w:r w:rsidRPr="00E6420C">
        <w:rPr>
          <w:rFonts w:ascii="Arial" w:hAnsi="Arial" w:cs="Arial"/>
          <w:sz w:val="24"/>
          <w:szCs w:val="24"/>
        </w:rPr>
        <w:instrText xml:space="preserve"> DOCPROPERTY  Country  \* MERGEFORMAT </w:instrText>
      </w:r>
      <w:r w:rsidRPr="00E6420C">
        <w:rPr>
          <w:rFonts w:ascii="Arial" w:hAnsi="Arial" w:cs="Arial"/>
          <w:sz w:val="24"/>
          <w:szCs w:val="24"/>
        </w:rPr>
        <w:fldChar w:fldCharType="separate"/>
      </w:r>
      <w:r w:rsidRPr="00E6420C">
        <w:rPr>
          <w:rFonts w:ascii="Arial" w:hAnsi="Arial" w:cs="Arial"/>
          <w:b/>
          <w:noProof/>
          <w:sz w:val="24"/>
          <w:szCs w:val="24"/>
        </w:rPr>
        <w:t>Greece</w:t>
      </w:r>
      <w:r w:rsidRPr="00E6420C">
        <w:rPr>
          <w:rFonts w:ascii="Arial" w:hAnsi="Arial" w:cs="Arial"/>
          <w:b/>
          <w:noProof/>
          <w:sz w:val="24"/>
          <w:szCs w:val="24"/>
        </w:rPr>
        <w:fldChar w:fldCharType="end"/>
      </w:r>
      <w:r w:rsidRPr="00E6420C">
        <w:rPr>
          <w:rFonts w:ascii="Arial" w:hAnsi="Arial" w:cs="Arial"/>
          <w:b/>
          <w:noProof/>
          <w:sz w:val="24"/>
          <w:szCs w:val="24"/>
        </w:rPr>
        <w:t xml:space="preserve">, </w:t>
      </w:r>
      <w:r w:rsidRPr="00E6420C">
        <w:rPr>
          <w:rFonts w:ascii="Arial" w:hAnsi="Arial" w:cs="Arial"/>
          <w:sz w:val="24"/>
          <w:szCs w:val="24"/>
        </w:rPr>
        <w:fldChar w:fldCharType="begin"/>
      </w:r>
      <w:r w:rsidRPr="00E6420C">
        <w:rPr>
          <w:rFonts w:ascii="Arial" w:hAnsi="Arial" w:cs="Arial"/>
          <w:sz w:val="24"/>
          <w:szCs w:val="24"/>
        </w:rPr>
        <w:instrText xml:space="preserve"> DOCPROPERTY  StartDate  \* MERGEFORMAT </w:instrText>
      </w:r>
      <w:r w:rsidRPr="00E6420C">
        <w:rPr>
          <w:rFonts w:ascii="Arial" w:hAnsi="Arial" w:cs="Arial"/>
          <w:sz w:val="24"/>
          <w:szCs w:val="24"/>
        </w:rPr>
        <w:fldChar w:fldCharType="separate"/>
      </w:r>
      <w:r w:rsidRPr="00E6420C">
        <w:rPr>
          <w:rFonts w:ascii="Arial" w:hAnsi="Arial" w:cs="Arial"/>
          <w:b/>
          <w:noProof/>
          <w:sz w:val="24"/>
          <w:szCs w:val="24"/>
        </w:rPr>
        <w:t xml:space="preserve"> 17th February</w:t>
      </w:r>
      <w:r w:rsidRPr="00E6420C">
        <w:rPr>
          <w:rFonts w:ascii="Arial" w:hAnsi="Arial" w:cs="Arial"/>
          <w:b/>
          <w:noProof/>
          <w:sz w:val="24"/>
          <w:szCs w:val="24"/>
        </w:rPr>
        <w:fldChar w:fldCharType="end"/>
      </w:r>
      <w:r w:rsidRPr="00E6420C">
        <w:rPr>
          <w:rFonts w:ascii="Arial" w:hAnsi="Arial" w:cs="Arial"/>
          <w:b/>
          <w:noProof/>
          <w:sz w:val="24"/>
          <w:szCs w:val="24"/>
        </w:rPr>
        <w:t xml:space="preserve"> – </w:t>
      </w:r>
      <w:r w:rsidRPr="00E6420C">
        <w:rPr>
          <w:rFonts w:ascii="Arial" w:hAnsi="Arial" w:cs="Arial"/>
          <w:sz w:val="24"/>
          <w:szCs w:val="24"/>
        </w:rPr>
        <w:fldChar w:fldCharType="begin"/>
      </w:r>
      <w:r w:rsidRPr="00E6420C">
        <w:rPr>
          <w:rFonts w:ascii="Arial" w:hAnsi="Arial" w:cs="Arial"/>
          <w:sz w:val="24"/>
          <w:szCs w:val="24"/>
        </w:rPr>
        <w:instrText xml:space="preserve"> DOCPROPERTY  EndDate  \* MERGEFORMAT </w:instrText>
      </w:r>
      <w:r w:rsidRPr="00E6420C">
        <w:rPr>
          <w:rFonts w:ascii="Arial" w:hAnsi="Arial" w:cs="Arial"/>
          <w:sz w:val="24"/>
          <w:szCs w:val="24"/>
        </w:rPr>
        <w:fldChar w:fldCharType="separate"/>
      </w:r>
      <w:r w:rsidRPr="00E6420C">
        <w:rPr>
          <w:rFonts w:ascii="Arial" w:hAnsi="Arial" w:cs="Arial"/>
          <w:b/>
          <w:noProof/>
          <w:sz w:val="24"/>
          <w:szCs w:val="24"/>
        </w:rPr>
        <w:t>21st February 2025</w:t>
      </w:r>
      <w:r w:rsidRPr="00E6420C">
        <w:rPr>
          <w:rFonts w:ascii="Arial" w:hAnsi="Arial" w:cs="Arial"/>
          <w:b/>
          <w:noProof/>
          <w:sz w:val="24"/>
          <w:szCs w:val="24"/>
        </w:rPr>
        <w:fldChar w:fldCharType="end"/>
      </w:r>
    </w:p>
    <w:p w14:paraId="39A0EE25" w14:textId="77777777" w:rsidR="00D309CC" w:rsidRPr="00056B4F" w:rsidRDefault="00D309CC" w:rsidP="00D309CC">
      <w:pPr>
        <w:tabs>
          <w:tab w:val="left" w:pos="2160"/>
        </w:tabs>
        <w:rPr>
          <w:rFonts w:ascii="Arial" w:hAnsi="Arial" w:cs="Arial"/>
          <w:b/>
        </w:rPr>
      </w:pPr>
    </w:p>
    <w:p w14:paraId="6DDCE159" w14:textId="1D8E5C87" w:rsidR="00D309CC" w:rsidRPr="00CE7214" w:rsidRDefault="00D309CC" w:rsidP="00D309CC">
      <w:pPr>
        <w:pStyle w:val="CH"/>
        <w:rPr>
          <w:lang w:val="en-US"/>
        </w:rPr>
      </w:pPr>
      <w:r w:rsidRPr="0008103A">
        <w:t>Agenda item:</w:t>
      </w:r>
      <w:r>
        <w:tab/>
      </w:r>
      <w:r w:rsidR="00650C1E" w:rsidRPr="00650C1E">
        <w:rPr>
          <w:lang w:val="en-US"/>
        </w:rPr>
        <w:t>7.22.2</w:t>
      </w:r>
    </w:p>
    <w:p w14:paraId="4DBE005A" w14:textId="33A2A3D4" w:rsidR="00D309CC" w:rsidRPr="00F614AC" w:rsidRDefault="00D309CC" w:rsidP="00D309CC">
      <w:pPr>
        <w:pStyle w:val="CH"/>
        <w:rPr>
          <w:b w:val="0"/>
        </w:rPr>
      </w:pPr>
      <w:r w:rsidRPr="00F614AC">
        <w:t>Source:</w:t>
      </w:r>
      <w:r w:rsidRPr="00F614AC">
        <w:tab/>
        <w:t>Apple</w:t>
      </w:r>
    </w:p>
    <w:p w14:paraId="0D2061A1" w14:textId="0BF6754D" w:rsidR="00D309CC" w:rsidRPr="00F614AC" w:rsidRDefault="00D309CC" w:rsidP="00D309CC">
      <w:pPr>
        <w:pStyle w:val="CH"/>
      </w:pPr>
      <w:r w:rsidRPr="00F614AC">
        <w:t>Title:</w:t>
      </w:r>
      <w:r w:rsidRPr="00F614AC">
        <w:tab/>
      </w:r>
      <w:r w:rsidR="002C0B2F" w:rsidRPr="002C0B2F">
        <w:rPr>
          <w:lang w:val="en-US"/>
        </w:rPr>
        <w:t>On UE RF impact of 3Tx UL MIMO</w:t>
      </w:r>
    </w:p>
    <w:p w14:paraId="052B1E0C" w14:textId="35DA896E" w:rsidR="00104BC6" w:rsidRPr="00FC7900" w:rsidRDefault="00104BC6" w:rsidP="00D309CC">
      <w:pPr>
        <w:pStyle w:val="CH"/>
      </w:pPr>
      <w:r w:rsidRPr="00F614AC">
        <w:t>WI/SI:</w:t>
      </w:r>
      <w:r w:rsidRPr="00F614AC">
        <w:tab/>
      </w:r>
      <w:r w:rsidR="0099182F" w:rsidRPr="0099182F">
        <w:t>NR_MIMO_Ph5-Core</w:t>
      </w:r>
    </w:p>
    <w:p w14:paraId="6C6D1281" w14:textId="32D87CA4" w:rsidR="00104BC6" w:rsidRPr="00F614AC" w:rsidRDefault="00104BC6" w:rsidP="00D309CC">
      <w:pPr>
        <w:pStyle w:val="CH"/>
        <w:rPr>
          <w:b w:val="0"/>
        </w:rPr>
      </w:pPr>
      <w:r w:rsidRPr="00F614AC">
        <w:t>Release:</w:t>
      </w:r>
      <w:r w:rsidRPr="00F614AC">
        <w:tab/>
        <w:t>Rel-</w:t>
      </w:r>
      <w:r w:rsidR="002A79F8" w:rsidRPr="00F614AC">
        <w:t>1</w:t>
      </w:r>
      <w:r w:rsidR="000C547A">
        <w:t>9</w:t>
      </w:r>
    </w:p>
    <w:p w14:paraId="2E4E044D" w14:textId="3F34962F" w:rsidR="00D309CC" w:rsidRDefault="00D309CC" w:rsidP="00D309CC">
      <w:pPr>
        <w:pStyle w:val="CH"/>
      </w:pPr>
      <w:r w:rsidRPr="00F614AC">
        <w:t>Document for:</w:t>
      </w:r>
      <w:r w:rsidRPr="00F614AC">
        <w:tab/>
      </w:r>
      <w:r w:rsidR="00AD4E3B">
        <w:t>Approval</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3D122B31" w14:textId="25AE67E3" w:rsidR="00C41DE2" w:rsidRPr="00C41DE2" w:rsidRDefault="00C41DE2" w:rsidP="00C41DE2">
      <w:pPr>
        <w:jc w:val="both"/>
      </w:pPr>
      <w:r w:rsidRPr="00C41DE2">
        <w:t xml:space="preserve">The </w:t>
      </w:r>
      <w:r w:rsidR="00E216D7">
        <w:t>scope</w:t>
      </w:r>
      <w:r w:rsidRPr="00C41DE2">
        <w:t xml:space="preserve"> of th</w:t>
      </w:r>
      <w:r>
        <w:t>e Rel-19</w:t>
      </w:r>
      <w:r w:rsidR="005770E5">
        <w:t xml:space="preserve"> </w:t>
      </w:r>
      <w:r w:rsidRPr="00C41DE2">
        <w:t>WI</w:t>
      </w:r>
      <w:r>
        <w:t xml:space="preserve"> [</w:t>
      </w:r>
      <w:r w:rsidR="00E216D7">
        <w:t>1</w:t>
      </w:r>
      <w:r>
        <w:t>]</w:t>
      </w:r>
      <w:r w:rsidRPr="00C41DE2">
        <w:t xml:space="preserve"> </w:t>
      </w:r>
      <w:r w:rsidR="00E216D7">
        <w:t>is</w:t>
      </w:r>
      <w:r w:rsidRPr="00C41DE2">
        <w:t xml:space="preserve"> </w:t>
      </w:r>
      <w:r w:rsidR="00E216D7">
        <w:t>the introduction of</w:t>
      </w:r>
      <w:r w:rsidRPr="00C41DE2">
        <w:t xml:space="preserve"> </w:t>
      </w:r>
      <w:r w:rsidR="00E216D7">
        <w:t>PC</w:t>
      </w:r>
      <w:r w:rsidRPr="00C41DE2">
        <w:t>2</w:t>
      </w:r>
      <w:r w:rsidRPr="00C41DE2">
        <w:rPr>
          <w:rFonts w:hint="eastAsia"/>
        </w:rPr>
        <w:t xml:space="preserve"> and </w:t>
      </w:r>
      <w:r w:rsidRPr="00C41DE2">
        <w:t xml:space="preserve">40MHz </w:t>
      </w:r>
      <w:r w:rsidR="00E216D7">
        <w:t>c</w:t>
      </w:r>
      <w:r w:rsidRPr="00C41DE2">
        <w:t xml:space="preserve">hannel </w:t>
      </w:r>
      <w:r w:rsidR="00E216D7">
        <w:t>b</w:t>
      </w:r>
      <w:r w:rsidRPr="00C41DE2">
        <w:t>andwidth</w:t>
      </w:r>
      <w:r w:rsidRPr="00C41DE2">
        <w:rPr>
          <w:rFonts w:hint="eastAsia"/>
        </w:rPr>
        <w:t xml:space="preserve"> for NR band n28</w:t>
      </w:r>
      <w:r>
        <w:t xml:space="preserve">. It is encouraged to evolve the existing dual duplexer architecture assumption to meet the current industry demand. This contribution </w:t>
      </w:r>
      <w:r w:rsidR="00A43197">
        <w:t>discusses the introduction of 40MHz channel bandwidth.</w:t>
      </w:r>
    </w:p>
    <w:p w14:paraId="0BADAEBE" w14:textId="2B7C6D40" w:rsidR="00015CF0" w:rsidRDefault="008E7986" w:rsidP="00493FEF">
      <w:pPr>
        <w:pStyle w:val="Heading1"/>
        <w:ind w:left="0" w:firstLine="0"/>
      </w:pPr>
      <w:r>
        <w:t>2</w:t>
      </w:r>
      <w:r w:rsidR="006212AD">
        <w:t xml:space="preserve"> </w:t>
      </w:r>
      <w:r>
        <w:t xml:space="preserve"> </w:t>
      </w:r>
      <w:r w:rsidR="006212AD">
        <w:t>Discussion</w:t>
      </w:r>
    </w:p>
    <w:p w14:paraId="747752B1" w14:textId="580F4CD8" w:rsidR="0099182F" w:rsidRDefault="00F16096" w:rsidP="00B41D49">
      <w:pPr>
        <w:pStyle w:val="Heading5"/>
      </w:pPr>
      <w:r>
        <w:t>2.</w:t>
      </w:r>
      <w:r w:rsidR="00493FEF">
        <w:t>1</w:t>
      </w:r>
      <w:r>
        <w:t xml:space="preserve"> </w:t>
      </w:r>
      <w:r w:rsidR="00984171">
        <w:t>Open item on applicable UE type</w:t>
      </w:r>
    </w:p>
    <w:p w14:paraId="4B6D5CF1" w14:textId="72BC96C8" w:rsidR="000270EE" w:rsidRDefault="00EC62E5" w:rsidP="00EC62E5">
      <w:pPr>
        <w:jc w:val="center"/>
      </w:pPr>
      <w:r w:rsidRPr="00EC62E5">
        <w:rPr>
          <w:noProof/>
        </w:rPr>
        <w:drawing>
          <wp:inline distT="0" distB="0" distL="0" distR="0" wp14:anchorId="47F16A58" wp14:editId="30A48D6D">
            <wp:extent cx="3750645" cy="963629"/>
            <wp:effectExtent l="88900" t="88900" r="97790" b="128905"/>
            <wp:docPr id="1862415307"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2415307" name="Picture 1" descr="A screenshot of a computer&#10;&#10;Description automatically generated"/>
                    <pic:cNvPicPr/>
                  </pic:nvPicPr>
                  <pic:blipFill>
                    <a:blip r:embed="rId9"/>
                    <a:stretch>
                      <a:fillRect/>
                    </a:stretch>
                  </pic:blipFill>
                  <pic:spPr>
                    <a:xfrm>
                      <a:off x="0" y="0"/>
                      <a:ext cx="3761555" cy="966432"/>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4DEA91B5" w14:textId="50E7276A" w:rsidR="00B41D49" w:rsidRDefault="00B41D49" w:rsidP="00B41D49">
      <w:r>
        <w:t xml:space="preserve">RAN1 responded </w:t>
      </w:r>
      <w:r w:rsidR="00CF23F2">
        <w:t xml:space="preserve">RAN4 </w:t>
      </w:r>
      <w:r>
        <w:t xml:space="preserve">with a </w:t>
      </w:r>
      <w:proofErr w:type="gramStart"/>
      <w:r w:rsidR="00947D58">
        <w:t>reply</w:t>
      </w:r>
      <w:proofErr w:type="gramEnd"/>
      <w:r w:rsidR="00947D58">
        <w:t xml:space="preserve"> </w:t>
      </w:r>
      <w:r>
        <w:t xml:space="preserve">LS [2] and answered the question on output power for </w:t>
      </w:r>
      <w:r w:rsidRPr="00B41D49">
        <w:t>UL full power transmission mode</w:t>
      </w:r>
      <w:r w:rsidR="00CF23F2">
        <w:t xml:space="preserve"> </w:t>
      </w:r>
      <w:r w:rsidRPr="00B41D49">
        <w:t>0</w:t>
      </w:r>
      <w:r w:rsidR="00CF23F2">
        <w:t>:</w:t>
      </w:r>
    </w:p>
    <w:tbl>
      <w:tblPr>
        <w:tblStyle w:val="TableGrid"/>
        <w:tblW w:w="0" w:type="auto"/>
        <w:tblInd w:w="445" w:type="dxa"/>
        <w:tblLook w:val="04A0" w:firstRow="1" w:lastRow="0" w:firstColumn="1" w:lastColumn="0" w:noHBand="0" w:noVBand="1"/>
      </w:tblPr>
      <w:tblGrid>
        <w:gridCol w:w="8460"/>
      </w:tblGrid>
      <w:tr w:rsidR="00B41D49" w14:paraId="1D0EEADD" w14:textId="77777777" w:rsidTr="00B41D49">
        <w:tc>
          <w:tcPr>
            <w:tcW w:w="8460" w:type="dxa"/>
          </w:tcPr>
          <w:p w14:paraId="020CF024" w14:textId="77777777" w:rsidR="00B41D49" w:rsidRPr="00E001E5" w:rsidRDefault="00B41D49" w:rsidP="000B31C6">
            <w:pPr>
              <w:spacing w:after="0"/>
              <w:contextualSpacing/>
              <w:rPr>
                <w:b/>
              </w:rPr>
            </w:pPr>
            <w:r w:rsidRPr="00E001E5">
              <w:rPr>
                <w:b/>
              </w:rPr>
              <w:t xml:space="preserve">Question 2: </w:t>
            </w:r>
            <w:r w:rsidRPr="00E001E5">
              <w:t xml:space="preserve">RAN4 would like to check with RAN1 whether a 3Tx UE supporting UL full power transmission mode 0 needs to achieve the same maximum output power with both 1Layer and 2Layers.  </w:t>
            </w:r>
          </w:p>
          <w:p w14:paraId="4565578A" w14:textId="77777777" w:rsidR="00B41D49" w:rsidRDefault="00B41D49" w:rsidP="000B31C6">
            <w:pPr>
              <w:spacing w:after="0"/>
              <w:contextualSpacing/>
              <w:jc w:val="both"/>
              <w:rPr>
                <w:b/>
                <w:bCs/>
              </w:rPr>
            </w:pPr>
          </w:p>
          <w:p w14:paraId="5BDC2765" w14:textId="77777777" w:rsidR="00B41D49" w:rsidRDefault="00B41D49" w:rsidP="000B31C6">
            <w:pPr>
              <w:spacing w:after="0"/>
              <w:contextualSpacing/>
              <w:rPr>
                <w:rFonts w:eastAsia="Malgun Gothic"/>
              </w:rPr>
            </w:pPr>
            <w:r>
              <w:rPr>
                <w:rFonts w:eastAsia="Malgun Gothic"/>
              </w:rPr>
              <w:t>Regarding Questions 2 and 3, RAN1 would like to i</w:t>
            </w:r>
            <w:r w:rsidRPr="00381FD8">
              <w:rPr>
                <w:rFonts w:eastAsia="Malgun Gothic"/>
              </w:rPr>
              <w:t xml:space="preserve">nform RAN4 that UL full power Mode 0 delivers full power for any precoder in the </w:t>
            </w:r>
            <w:r>
              <w:rPr>
                <w:rFonts w:eastAsia="Malgun Gothic"/>
              </w:rPr>
              <w:t xml:space="preserve">3-port </w:t>
            </w:r>
            <w:r w:rsidRPr="00381FD8">
              <w:rPr>
                <w:rFonts w:eastAsia="Malgun Gothic"/>
              </w:rPr>
              <w:t>codebook, regardless of the number of layers in the precoder</w:t>
            </w:r>
            <w:r>
              <w:rPr>
                <w:rFonts w:eastAsia="Malgun Gothic"/>
              </w:rPr>
              <w:t>.</w:t>
            </w:r>
          </w:p>
          <w:p w14:paraId="27E02B81" w14:textId="77777777" w:rsidR="00B41D49" w:rsidRDefault="00B41D49" w:rsidP="000B31C6">
            <w:pPr>
              <w:spacing w:after="0"/>
              <w:contextualSpacing/>
              <w:jc w:val="both"/>
              <w:rPr>
                <w:b/>
                <w:bCs/>
              </w:rPr>
            </w:pPr>
          </w:p>
          <w:p w14:paraId="5DF1B739" w14:textId="77777777" w:rsidR="00B41D49" w:rsidRPr="00401166" w:rsidRDefault="00B41D49" w:rsidP="000B31C6">
            <w:pPr>
              <w:spacing w:after="0"/>
              <w:contextualSpacing/>
              <w:jc w:val="both"/>
            </w:pPr>
            <w:r w:rsidRPr="00CF4A3B">
              <w:rPr>
                <w:b/>
                <w:bCs/>
              </w:rPr>
              <w:t xml:space="preserve">Reply </w:t>
            </w:r>
            <w:r w:rsidRPr="00E0482E">
              <w:rPr>
                <w:b/>
                <w:bCs/>
              </w:rPr>
              <w:t xml:space="preserve">for Question </w:t>
            </w:r>
            <w:r>
              <w:rPr>
                <w:b/>
                <w:bCs/>
              </w:rPr>
              <w:t>2</w:t>
            </w:r>
            <w:r w:rsidRPr="00CF4A3B">
              <w:rPr>
                <w:b/>
                <w:bCs/>
              </w:rPr>
              <w:t>:</w:t>
            </w:r>
            <w:r w:rsidRPr="00CF4A3B">
              <w:t xml:space="preserve"> Yes, a 3Tx UE supporting UL full power transmission mode 0, delivers the same maximum output power with both 1- and 2-layer precoders. </w:t>
            </w:r>
          </w:p>
        </w:tc>
      </w:tr>
    </w:tbl>
    <w:p w14:paraId="54C0C330" w14:textId="77777777" w:rsidR="00B41D49" w:rsidRDefault="00B41D49" w:rsidP="00B41D49">
      <w:pPr>
        <w:rPr>
          <w:lang w:val="en-US"/>
        </w:rPr>
      </w:pPr>
    </w:p>
    <w:p w14:paraId="400B6AF4" w14:textId="524D25C0" w:rsidR="00B41D49" w:rsidRDefault="00B41D49" w:rsidP="00B41D49">
      <w:pPr>
        <w:rPr>
          <w:lang w:val="en-US"/>
        </w:rPr>
      </w:pPr>
      <w:r>
        <w:rPr>
          <w:lang w:val="en-US"/>
        </w:rPr>
        <w:t>The answer confirms the decision that 3Tx PC1.5 cannot be supported for full power mode 0 in Rel-19.</w:t>
      </w:r>
    </w:p>
    <w:p w14:paraId="768A8E61" w14:textId="3C851C5E" w:rsidR="00984171" w:rsidRDefault="00984171" w:rsidP="00475B1A">
      <w:pPr>
        <w:pStyle w:val="Heading5"/>
        <w:ind w:left="0" w:firstLine="0"/>
      </w:pPr>
      <w:r>
        <w:t>2.1 Open item on MPR application</w:t>
      </w:r>
    </w:p>
    <w:p w14:paraId="38B6C96B" w14:textId="20C1E307" w:rsidR="0099182F" w:rsidRDefault="00FD3E04" w:rsidP="0099182F">
      <w:r>
        <w:t>At</w:t>
      </w:r>
      <w:r w:rsidR="00984171">
        <w:t xml:space="preserve"> last meeting the question on </w:t>
      </w:r>
      <w:r w:rsidR="00AC54C6">
        <w:t xml:space="preserve">3Tx </w:t>
      </w:r>
      <w:r>
        <w:t xml:space="preserve">PC1.5 </w:t>
      </w:r>
      <w:r w:rsidR="00984171">
        <w:t>MPR could not be settled which lead to the following way forward:</w:t>
      </w:r>
    </w:p>
    <w:p w14:paraId="30AD70AF" w14:textId="2C1D627A" w:rsidR="0099182F" w:rsidRDefault="00EC62E5" w:rsidP="00EC62E5">
      <w:pPr>
        <w:jc w:val="center"/>
      </w:pPr>
      <w:r w:rsidRPr="00EC62E5">
        <w:rPr>
          <w:noProof/>
        </w:rPr>
        <w:lastRenderedPageBreak/>
        <w:drawing>
          <wp:inline distT="0" distB="0" distL="0" distR="0" wp14:anchorId="7E57AD8B" wp14:editId="44C796B7">
            <wp:extent cx="4321012" cy="743997"/>
            <wp:effectExtent l="88900" t="88900" r="86360" b="120015"/>
            <wp:docPr id="193303547" name="Picture 1" descr="A close-up of a let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303547" name="Picture 1" descr="A close-up of a letter&#10;&#10;Description automatically generated"/>
                    <pic:cNvPicPr/>
                  </pic:nvPicPr>
                  <pic:blipFill>
                    <a:blip r:embed="rId10"/>
                    <a:stretch>
                      <a:fillRect/>
                    </a:stretch>
                  </pic:blipFill>
                  <pic:spPr>
                    <a:xfrm>
                      <a:off x="0" y="0"/>
                      <a:ext cx="4430777" cy="762896"/>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16E1D2C1" w14:textId="5C5C3807" w:rsidR="000270EE" w:rsidRDefault="00AB7490" w:rsidP="00BD74DF">
      <w:pPr>
        <w:jc w:val="both"/>
      </w:pPr>
      <w:r>
        <w:t xml:space="preserve">Checking on clause 6.2D.2 of TS 38.101-1 it can be observed that there exists PC1.5 A-MPR tables dedicated to dual Tx and 4Tx. It would make sense to assume that a dedicated table would be required for 3Tx. Before this conclusion can be made an architecture check is needed. With the current available amplifier technology there are two available power classes, PC3 and PC2. </w:t>
      </w:r>
    </w:p>
    <w:p w14:paraId="2C27E2BD" w14:textId="5E1D310F" w:rsidR="00BD74DF" w:rsidRDefault="00BD74DF" w:rsidP="00BD74DF">
      <w:pPr>
        <w:jc w:val="both"/>
      </w:pPr>
      <w:r>
        <w:t>To reach PC1.5 with 3Tx there can only be two architecture options:</w:t>
      </w:r>
    </w:p>
    <w:p w14:paraId="3953C55F" w14:textId="30609355" w:rsidR="000D712A" w:rsidRDefault="000D712A" w:rsidP="000D712A">
      <w:pPr>
        <w:pStyle w:val="ListParagraph"/>
        <w:numPr>
          <w:ilvl w:val="0"/>
          <w:numId w:val="18"/>
        </w:numPr>
        <w:jc w:val="both"/>
      </w:pPr>
      <w:r>
        <w:t>PC1.5 is achieved with PC3+PC3+PC2</w:t>
      </w:r>
    </w:p>
    <w:p w14:paraId="2E233967" w14:textId="5BA73973" w:rsidR="00BD74DF" w:rsidRDefault="00BD74DF" w:rsidP="00BD74DF">
      <w:pPr>
        <w:pStyle w:val="ListParagraph"/>
        <w:numPr>
          <w:ilvl w:val="0"/>
          <w:numId w:val="18"/>
        </w:numPr>
        <w:jc w:val="both"/>
      </w:pPr>
      <w:r>
        <w:t>PC1.5 is achieved with PC2+PC2+PC2</w:t>
      </w:r>
    </w:p>
    <w:p w14:paraId="0AA892D8" w14:textId="3772C146" w:rsidR="000D712A" w:rsidRDefault="000D712A" w:rsidP="0013382D">
      <w:pPr>
        <w:jc w:val="both"/>
      </w:pPr>
      <w:r>
        <w:t>It has already been observed that t</w:t>
      </w:r>
      <w:r w:rsidR="0013382D">
        <w:t xml:space="preserve">he first option </w:t>
      </w:r>
      <w:r>
        <w:t>is not possible as the</w:t>
      </w:r>
      <w:r w:rsidR="00CB5189">
        <w:t xml:space="preserve"> individual</w:t>
      </w:r>
      <w:r>
        <w:t xml:space="preserve"> layers would have unequal power which is currently not applicable. Therefore, this option can be excluded. Option 2</w:t>
      </w:r>
      <w:r w:rsidR="00FD1D29">
        <w:t xml:space="preserve"> uses 3xPC2 and </w:t>
      </w:r>
      <w:r w:rsidR="0013382D">
        <w:t>does not require the</w:t>
      </w:r>
      <w:r w:rsidR="00311E10">
        <w:t xml:space="preserve"> individual</w:t>
      </w:r>
      <w:r w:rsidR="0013382D">
        <w:t xml:space="preserve"> amplifiers to operate at maximum output power</w:t>
      </w:r>
      <w:r w:rsidR="00311E10">
        <w:t xml:space="preserve"> when transmitting at 29dBm</w:t>
      </w:r>
      <w:r w:rsidR="0013382D">
        <w:t xml:space="preserve">. Instead, </w:t>
      </w:r>
      <w:r w:rsidR="00C428CF">
        <w:t>the amplifiers</w:t>
      </w:r>
      <w:r w:rsidR="0013382D">
        <w:t xml:space="preserve"> can operate</w:t>
      </w:r>
      <w:r w:rsidR="00172B69">
        <w:t xml:space="preserve"> at</w:t>
      </w:r>
      <w:r w:rsidR="0013382D">
        <w:t xml:space="preserve"> </w:t>
      </w:r>
      <w:r w:rsidR="00172B69">
        <w:t>roughly 1.8dB</w:t>
      </w:r>
      <w:r w:rsidR="0013382D">
        <w:t xml:space="preserve"> back-off.</w:t>
      </w:r>
      <w:r w:rsidR="00364FD0">
        <w:t xml:space="preserve"> Comparing the dual Tx for 20dB antenna isolation table with the 4Tx table for 20dB antenna isolation we can observe that </w:t>
      </w:r>
      <w:r w:rsidR="00DA69A5">
        <w:t>the larges</w:t>
      </w:r>
      <w:r w:rsidR="00364FD0">
        <w:t xml:space="preserve"> difference </w:t>
      </w:r>
      <w:r w:rsidR="00DA69A5">
        <w:t>is</w:t>
      </w:r>
      <w:r w:rsidR="00364FD0">
        <w:t xml:space="preserve"> </w:t>
      </w:r>
      <w:r w:rsidR="00DA69A5">
        <w:t>3</w:t>
      </w:r>
      <w:r w:rsidR="00364FD0">
        <w:t>dB</w:t>
      </w:r>
      <w:r w:rsidR="00DA69A5">
        <w:t xml:space="preserve"> for edge allocations</w:t>
      </w:r>
      <w:r w:rsidR="0081084D">
        <w:t xml:space="preserve"> at 10dB antenna isolation.</w:t>
      </w:r>
      <w:r w:rsidR="006921DA">
        <w:t xml:space="preserve"> The inherent back-off can</w:t>
      </w:r>
      <w:r w:rsidR="00DA69A5">
        <w:t>not</w:t>
      </w:r>
      <w:r w:rsidR="006921DA">
        <w:t xml:space="preserve"> absorb </w:t>
      </w:r>
      <w:r w:rsidR="00DA69A5">
        <w:t>all the increased power back-off need.</w:t>
      </w:r>
      <w:r>
        <w:t xml:space="preserve"> This mean</w:t>
      </w:r>
      <w:r w:rsidR="00A25809">
        <w:t>s</w:t>
      </w:r>
      <w:r>
        <w:t xml:space="preserve"> that </w:t>
      </w:r>
      <w:r w:rsidR="00116FB9">
        <w:t>a</w:t>
      </w:r>
      <w:r>
        <w:t xml:space="preserve"> 3xPC2</w:t>
      </w:r>
      <w:r w:rsidR="00116FB9">
        <w:t xml:space="preserve"> architecture</w:t>
      </w:r>
      <w:r>
        <w:t xml:space="preserve"> </w:t>
      </w:r>
      <w:r w:rsidR="00116FB9">
        <w:t>requires a</w:t>
      </w:r>
      <w:r>
        <w:t xml:space="preserve"> dedicated</w:t>
      </w:r>
      <w:r w:rsidR="00A25809">
        <w:t xml:space="preserve"> 3Tx MPR</w:t>
      </w:r>
      <w:r>
        <w:t xml:space="preserve"> table</w:t>
      </w:r>
      <w:r w:rsidR="00011FB7">
        <w:t>.</w:t>
      </w:r>
    </w:p>
    <w:p w14:paraId="41AC8238" w14:textId="02F423D6" w:rsidR="003B1540" w:rsidRDefault="00DF155E" w:rsidP="003B1540">
      <w:pPr>
        <w:jc w:val="both"/>
        <w:rPr>
          <w:i/>
          <w:iCs/>
        </w:rPr>
      </w:pPr>
      <w:r w:rsidRPr="003B1540">
        <w:rPr>
          <w:b/>
          <w:bCs/>
        </w:rPr>
        <w:t>Observation:</w:t>
      </w:r>
      <w:r>
        <w:t xml:space="preserve"> </w:t>
      </w:r>
      <w:r w:rsidRPr="003B1540">
        <w:rPr>
          <w:i/>
          <w:iCs/>
        </w:rPr>
        <w:t>With the assumption of achieving PC1.5 with 3xPC2 each amplifier can operate at roughly 1.8dB back-off</w:t>
      </w:r>
      <w:r w:rsidR="003B1540" w:rsidRPr="003B1540">
        <w:rPr>
          <w:i/>
          <w:iCs/>
        </w:rPr>
        <w:t xml:space="preserve"> at maximum output power. Comparing the dual Tx for 20dB antenna isolation table with the 4Tx table for 20dB antenna isolation we can observe </w:t>
      </w:r>
      <w:r w:rsidR="00DA69A5" w:rsidRPr="00DA69A5">
        <w:rPr>
          <w:i/>
          <w:iCs/>
        </w:rPr>
        <w:t>that the larges difference is 3dB for edge allocations</w:t>
      </w:r>
      <w:r w:rsidR="0081084D">
        <w:rPr>
          <w:i/>
          <w:iCs/>
        </w:rPr>
        <w:t xml:space="preserve"> </w:t>
      </w:r>
      <w:r w:rsidR="0081084D" w:rsidRPr="0081084D">
        <w:rPr>
          <w:i/>
          <w:iCs/>
        </w:rPr>
        <w:t>at 10dB antenna isolation</w:t>
      </w:r>
      <w:r w:rsidR="00DA69A5" w:rsidRPr="00DA69A5">
        <w:rPr>
          <w:i/>
          <w:iCs/>
        </w:rPr>
        <w:t xml:space="preserve">. The inherent back-off cannot absorb all the increased power back-off need. </w:t>
      </w:r>
      <w:r w:rsidR="00A25809" w:rsidRPr="00A25809">
        <w:rPr>
          <w:i/>
          <w:iCs/>
        </w:rPr>
        <w:t>This mean</w:t>
      </w:r>
      <w:r w:rsidR="00A25809">
        <w:rPr>
          <w:i/>
          <w:iCs/>
        </w:rPr>
        <w:t>s</w:t>
      </w:r>
      <w:r w:rsidR="00A25809" w:rsidRPr="00A25809">
        <w:rPr>
          <w:i/>
          <w:iCs/>
        </w:rPr>
        <w:t xml:space="preserve"> that a 3xPC2 architecture requires a dedicated 3Tx MPR table.</w:t>
      </w:r>
    </w:p>
    <w:p w14:paraId="5FFCC3D5" w14:textId="33C3F185" w:rsidR="00DA69A5" w:rsidRPr="00DA69A5" w:rsidRDefault="00DA69A5" w:rsidP="00DA69A5">
      <w:pPr>
        <w:jc w:val="both"/>
        <w:rPr>
          <w:i/>
          <w:iCs/>
        </w:rPr>
      </w:pPr>
      <w:r>
        <w:rPr>
          <w:b/>
          <w:bCs/>
        </w:rPr>
        <w:t>Proposal</w:t>
      </w:r>
      <w:r w:rsidR="00887A6F">
        <w:rPr>
          <w:b/>
          <w:bCs/>
        </w:rPr>
        <w:t xml:space="preserve"> 1</w:t>
      </w:r>
      <w:r>
        <w:rPr>
          <w:b/>
          <w:bCs/>
        </w:rPr>
        <w:t xml:space="preserve">: </w:t>
      </w:r>
      <w:r>
        <w:rPr>
          <w:i/>
          <w:iCs/>
        </w:rPr>
        <w:t>Discuss the introduction of a 3Tx table for PC1.5</w:t>
      </w:r>
    </w:p>
    <w:p w14:paraId="54973559" w14:textId="44CF941A" w:rsidR="00475B1A" w:rsidRDefault="00475B1A" w:rsidP="003B1540">
      <w:pPr>
        <w:jc w:val="both"/>
      </w:pPr>
      <w:r>
        <w:t>Similar observation can be made for the open item on 3Tx PC2 MPR. In this case 3xPC3 can be used to achieve PC2 over the air and all layers have equal power.</w:t>
      </w:r>
      <w:r w:rsidR="006921DA">
        <w:t xml:space="preserve"> The amplifiers operate </w:t>
      </w:r>
      <w:r w:rsidR="006921DA">
        <w:t>at roughly 1.8dB back-off</w:t>
      </w:r>
      <w:r w:rsidR="006921DA">
        <w:t xml:space="preserve">. Comparing the 1Tx and 2Tx MPR </w:t>
      </w:r>
      <w:r w:rsidR="00F5525D">
        <w:t xml:space="preserve">it can be found that the largest difference is </w:t>
      </w:r>
      <w:r w:rsidR="00116FB9">
        <w:t xml:space="preserve">3dB for Pi/2 BPSK edge allocations. </w:t>
      </w:r>
      <w:r w:rsidR="00116FB9" w:rsidRPr="00116FB9">
        <w:t xml:space="preserve">The inherent back-off cannot absorb all the increased power back-off need. </w:t>
      </w:r>
      <w:r w:rsidR="00A25809" w:rsidRPr="00A25809">
        <w:t>This mean</w:t>
      </w:r>
      <w:r w:rsidR="00A25809">
        <w:t>s</w:t>
      </w:r>
      <w:r w:rsidR="00A25809" w:rsidRPr="00A25809">
        <w:t xml:space="preserve"> that a 3xPC</w:t>
      </w:r>
      <w:r w:rsidR="00E13ACD">
        <w:t>3</w:t>
      </w:r>
      <w:r w:rsidR="00A25809" w:rsidRPr="00A25809">
        <w:t xml:space="preserve"> architecture requires </w:t>
      </w:r>
      <w:r w:rsidR="00E13ACD">
        <w:t>the use of the dual Tx MPR table.</w:t>
      </w:r>
    </w:p>
    <w:p w14:paraId="08758684" w14:textId="7AE19413" w:rsidR="000270EE" w:rsidRPr="00092321" w:rsidRDefault="00887A6F" w:rsidP="00092321">
      <w:pPr>
        <w:jc w:val="both"/>
        <w:rPr>
          <w:i/>
          <w:iCs/>
        </w:rPr>
      </w:pPr>
      <w:r>
        <w:rPr>
          <w:b/>
          <w:bCs/>
        </w:rPr>
        <w:t xml:space="preserve">Proposal </w:t>
      </w:r>
      <w:r>
        <w:rPr>
          <w:b/>
          <w:bCs/>
        </w:rPr>
        <w:t>2</w:t>
      </w:r>
      <w:r>
        <w:rPr>
          <w:b/>
          <w:bCs/>
        </w:rPr>
        <w:t xml:space="preserve">: </w:t>
      </w:r>
      <w:r w:rsidR="0073107D">
        <w:rPr>
          <w:i/>
          <w:iCs/>
        </w:rPr>
        <w:t xml:space="preserve">If </w:t>
      </w:r>
      <w:r>
        <w:rPr>
          <w:i/>
          <w:iCs/>
        </w:rPr>
        <w:t xml:space="preserve"> a UE implement</w:t>
      </w:r>
      <w:r w:rsidR="0073107D">
        <w:rPr>
          <w:i/>
          <w:iCs/>
        </w:rPr>
        <w:t xml:space="preserve">s </w:t>
      </w:r>
      <w:r w:rsidR="0073107D">
        <w:rPr>
          <w:i/>
          <w:iCs/>
        </w:rPr>
        <w:t>3Tx PC2</w:t>
      </w:r>
      <w:r>
        <w:rPr>
          <w:i/>
          <w:iCs/>
        </w:rPr>
        <w:t xml:space="preserve"> </w:t>
      </w:r>
      <w:r w:rsidR="0073107D">
        <w:rPr>
          <w:i/>
          <w:iCs/>
        </w:rPr>
        <w:t>with</w:t>
      </w:r>
      <w:r>
        <w:rPr>
          <w:i/>
          <w:iCs/>
        </w:rPr>
        <w:t xml:space="preserve"> PC3 chains </w:t>
      </w:r>
      <w:r w:rsidR="0073107D">
        <w:rPr>
          <w:i/>
          <w:iCs/>
        </w:rPr>
        <w:t>then</w:t>
      </w:r>
      <w:r w:rsidR="001442FA">
        <w:rPr>
          <w:i/>
          <w:iCs/>
        </w:rPr>
        <w:t xml:space="preserve"> the use of</w:t>
      </w:r>
      <w:r w:rsidR="0073107D">
        <w:rPr>
          <w:i/>
          <w:iCs/>
        </w:rPr>
        <w:t xml:space="preserve"> </w:t>
      </w:r>
      <w:r>
        <w:rPr>
          <w:i/>
          <w:iCs/>
        </w:rPr>
        <w:t>dual Tx MPR</w:t>
      </w:r>
      <w:r w:rsidR="0073107D">
        <w:rPr>
          <w:i/>
          <w:iCs/>
        </w:rPr>
        <w:t xml:space="preserve"> is required</w:t>
      </w:r>
      <w:r>
        <w:rPr>
          <w:i/>
          <w:iCs/>
        </w:rPr>
        <w:t xml:space="preserve">. </w:t>
      </w:r>
    </w:p>
    <w:p w14:paraId="57CF0E83" w14:textId="0AF4050A" w:rsidR="0011749B" w:rsidRDefault="0011749B" w:rsidP="0099182F"/>
    <w:p w14:paraId="7CE2FD64" w14:textId="661E66D2" w:rsidR="00D52405" w:rsidRPr="0099182F" w:rsidRDefault="00D52405" w:rsidP="0099182F"/>
    <w:p w14:paraId="007773EB" w14:textId="77777777" w:rsidR="0099182F" w:rsidRDefault="0099182F" w:rsidP="008E7986">
      <w:pPr>
        <w:pStyle w:val="Heading1"/>
      </w:pPr>
    </w:p>
    <w:p w14:paraId="34C99636" w14:textId="7DE2CA4A" w:rsidR="008E7986" w:rsidRDefault="00A84761" w:rsidP="008E7986">
      <w:pPr>
        <w:pStyle w:val="Heading1"/>
      </w:pPr>
      <w:r>
        <w:t>4</w:t>
      </w:r>
      <w:r w:rsidR="008E7986">
        <w:tab/>
        <w:t>Conclusions</w:t>
      </w:r>
    </w:p>
    <w:p w14:paraId="25B6A5A6" w14:textId="4436F20E" w:rsidR="00430810" w:rsidRDefault="00430810" w:rsidP="00430810">
      <w:pPr>
        <w:rPr>
          <w:lang w:val="en-US"/>
        </w:rPr>
      </w:pPr>
      <w:r w:rsidRPr="00430810">
        <w:rPr>
          <w:lang w:val="en-US"/>
        </w:rPr>
        <w:t xml:space="preserve">In this contribution, we share our views on the UE RF impact of 3Tx UL MIMO which includes power classes and PA configurations and their implication on the MPR requirements. </w:t>
      </w:r>
      <w:r>
        <w:rPr>
          <w:lang w:val="en-US"/>
        </w:rPr>
        <w:t>The following observations are made:</w:t>
      </w:r>
    </w:p>
    <w:p w14:paraId="2A42F71C" w14:textId="77777777" w:rsidR="00092321" w:rsidRDefault="00092321" w:rsidP="00092321">
      <w:pPr>
        <w:jc w:val="both"/>
        <w:rPr>
          <w:i/>
          <w:iCs/>
        </w:rPr>
      </w:pPr>
      <w:r w:rsidRPr="003B1540">
        <w:rPr>
          <w:b/>
          <w:bCs/>
        </w:rPr>
        <w:t>Observation:</w:t>
      </w:r>
      <w:r>
        <w:t xml:space="preserve"> </w:t>
      </w:r>
      <w:r w:rsidRPr="003B1540">
        <w:rPr>
          <w:i/>
          <w:iCs/>
        </w:rPr>
        <w:t xml:space="preserve">With the assumption of achieving PC1.5 with 3xPC2 each amplifier can operate at roughly 1.8dB back-off at maximum output power. Comparing the dual Tx for 20dB antenna isolation table with the 4Tx table for 20dB antenna isolation we can observe </w:t>
      </w:r>
      <w:r w:rsidRPr="00DA69A5">
        <w:rPr>
          <w:i/>
          <w:iCs/>
        </w:rPr>
        <w:t>that the larges difference is 3dB for edge allocations</w:t>
      </w:r>
      <w:r>
        <w:rPr>
          <w:i/>
          <w:iCs/>
        </w:rPr>
        <w:t xml:space="preserve"> </w:t>
      </w:r>
      <w:r w:rsidRPr="0081084D">
        <w:rPr>
          <w:i/>
          <w:iCs/>
        </w:rPr>
        <w:t>at 10dB antenna isolation</w:t>
      </w:r>
      <w:r w:rsidRPr="00DA69A5">
        <w:rPr>
          <w:i/>
          <w:iCs/>
        </w:rPr>
        <w:t xml:space="preserve">. The inherent back-off cannot absorb all the increased power back-off need. </w:t>
      </w:r>
      <w:r w:rsidRPr="00A25809">
        <w:rPr>
          <w:i/>
          <w:iCs/>
        </w:rPr>
        <w:t>This mean</w:t>
      </w:r>
      <w:r>
        <w:rPr>
          <w:i/>
          <w:iCs/>
        </w:rPr>
        <w:t>s</w:t>
      </w:r>
      <w:r w:rsidRPr="00A25809">
        <w:rPr>
          <w:i/>
          <w:iCs/>
        </w:rPr>
        <w:t xml:space="preserve"> that a 3xPC2 architecture requires a dedicated 3Tx MPR table.</w:t>
      </w:r>
    </w:p>
    <w:p w14:paraId="660EB8FF" w14:textId="77777777" w:rsidR="00092321" w:rsidRDefault="00092321" w:rsidP="00092321">
      <w:pPr>
        <w:jc w:val="both"/>
        <w:rPr>
          <w:i/>
          <w:iCs/>
        </w:rPr>
      </w:pPr>
      <w:r>
        <w:rPr>
          <w:b/>
          <w:bCs/>
        </w:rPr>
        <w:t xml:space="preserve">Proposal 1: </w:t>
      </w:r>
      <w:r>
        <w:rPr>
          <w:i/>
          <w:iCs/>
        </w:rPr>
        <w:t>Discuss the introduction of a 3Tx table for PC1.5</w:t>
      </w:r>
    </w:p>
    <w:p w14:paraId="36D9AB25" w14:textId="7AEC458D" w:rsidR="00092321" w:rsidRPr="00092321" w:rsidRDefault="00092321" w:rsidP="00092321">
      <w:pPr>
        <w:jc w:val="both"/>
        <w:rPr>
          <w:i/>
          <w:iCs/>
        </w:rPr>
      </w:pPr>
      <w:r>
        <w:rPr>
          <w:b/>
          <w:bCs/>
        </w:rPr>
        <w:t xml:space="preserve">Proposal 2: </w:t>
      </w:r>
      <w:r>
        <w:rPr>
          <w:i/>
          <w:iCs/>
        </w:rPr>
        <w:t>If  a UE implements 3Tx PC2 with PC3 chains then</w:t>
      </w:r>
      <w:r w:rsidR="001442FA">
        <w:rPr>
          <w:i/>
          <w:iCs/>
        </w:rPr>
        <w:t xml:space="preserve"> the use of</w:t>
      </w:r>
      <w:r>
        <w:rPr>
          <w:i/>
          <w:iCs/>
        </w:rPr>
        <w:t xml:space="preserve"> dual Tx MPR is required. </w:t>
      </w:r>
    </w:p>
    <w:p w14:paraId="22ABE0BE" w14:textId="77777777" w:rsidR="00092321" w:rsidRPr="00DA69A5" w:rsidRDefault="00092321" w:rsidP="00092321">
      <w:pPr>
        <w:jc w:val="both"/>
        <w:rPr>
          <w:i/>
          <w:iCs/>
        </w:rPr>
      </w:pPr>
    </w:p>
    <w:p w14:paraId="38FC7824" w14:textId="27EC2B39" w:rsidR="00627EB9" w:rsidRDefault="00627EB9" w:rsidP="00335226"/>
    <w:p w14:paraId="5D2DDC34" w14:textId="77777777" w:rsidR="005E69AE" w:rsidRDefault="005E69AE" w:rsidP="005E69AE">
      <w:pPr>
        <w:pStyle w:val="Heading1"/>
      </w:pPr>
      <w:r>
        <w:t>4</w:t>
      </w:r>
      <w:r>
        <w:tab/>
        <w:t>References</w:t>
      </w:r>
    </w:p>
    <w:bookmarkEnd w:id="0"/>
    <w:p w14:paraId="7D2DA4F3" w14:textId="60DC50B8" w:rsidR="00761C53" w:rsidRPr="008D056D" w:rsidRDefault="0099182F" w:rsidP="006F7CE5">
      <w:pPr>
        <w:numPr>
          <w:ilvl w:val="0"/>
          <w:numId w:val="11"/>
        </w:numPr>
        <w:rPr>
          <w:b/>
          <w:lang w:val="en-US"/>
        </w:rPr>
      </w:pPr>
      <w:r w:rsidRPr="0099182F">
        <w:t>R4-2414310</w:t>
      </w:r>
      <w:r w:rsidR="007129D7">
        <w:t>,</w:t>
      </w:r>
      <w:r w:rsidR="007129D7" w:rsidRPr="007129D7">
        <w:t xml:space="preserve"> </w:t>
      </w:r>
      <w:r w:rsidR="007F3A2A" w:rsidRPr="007F3A2A">
        <w:rPr>
          <w:lang w:val="en-US"/>
        </w:rPr>
        <w:t>“</w:t>
      </w:r>
      <w:r w:rsidRPr="0099182F">
        <w:t>WF on UE RF requirements for Rel-19 MIMO enhancement</w:t>
      </w:r>
      <w:r w:rsidRPr="0099182F">
        <w:rPr>
          <w:lang w:val="en-US"/>
        </w:rPr>
        <w:t xml:space="preserve"> </w:t>
      </w:r>
      <w:r w:rsidR="007F3A2A" w:rsidRPr="007F3A2A">
        <w:rPr>
          <w:lang w:val="en-US"/>
        </w:rPr>
        <w:t>“,</w:t>
      </w:r>
      <w:r w:rsidR="00B13FDC">
        <w:rPr>
          <w:lang w:val="en-US"/>
        </w:rPr>
        <w:t xml:space="preserve"> </w:t>
      </w:r>
      <w:r>
        <w:rPr>
          <w:lang w:val="en-US"/>
        </w:rPr>
        <w:t xml:space="preserve">Samsung, </w:t>
      </w:r>
      <w:r w:rsidRPr="0099182F">
        <w:rPr>
          <w:lang w:val="en-US"/>
        </w:rPr>
        <w:t>3GPP TSG-RAN WG4 Meeting #112</w:t>
      </w:r>
      <w:r w:rsidR="0071790E" w:rsidRPr="0071790E">
        <w:rPr>
          <w:lang w:val="en-US"/>
        </w:rPr>
        <w:t xml:space="preserve"> </w:t>
      </w:r>
    </w:p>
    <w:p w14:paraId="39997524" w14:textId="62764472" w:rsidR="008D056D" w:rsidRDefault="008D056D" w:rsidP="006F7CE5">
      <w:pPr>
        <w:numPr>
          <w:ilvl w:val="0"/>
          <w:numId w:val="11"/>
        </w:numPr>
        <w:rPr>
          <w:b/>
          <w:lang w:val="en-US"/>
        </w:rPr>
      </w:pPr>
      <w:r w:rsidRPr="008D056D">
        <w:rPr>
          <w:lang w:val="en-US"/>
        </w:rPr>
        <w:t>R4-2500005</w:t>
      </w:r>
      <w:r>
        <w:rPr>
          <w:lang w:val="en-US"/>
        </w:rPr>
        <w:t>, “</w:t>
      </w:r>
      <w:r w:rsidRPr="008D056D">
        <w:rPr>
          <w:lang w:val="en-US"/>
        </w:rPr>
        <w:t>Reply to RAN4 LS on UE RF issues for Rel-19 MIMO Enhancement</w:t>
      </w:r>
      <w:r>
        <w:rPr>
          <w:lang w:val="en-US"/>
        </w:rPr>
        <w:t xml:space="preserve">”, RAN1, </w:t>
      </w:r>
      <w:bookmarkStart w:id="1" w:name="DocumentFor"/>
      <w:bookmarkStart w:id="2" w:name="Title"/>
      <w:bookmarkEnd w:id="1"/>
      <w:bookmarkEnd w:id="2"/>
      <w:r w:rsidRPr="008D056D">
        <w:rPr>
          <w:lang w:val="en-US"/>
        </w:rPr>
        <w:t>3GPP TSG-RAN WG4 Meeting #114</w:t>
      </w:r>
    </w:p>
    <w:p w14:paraId="21F9D74F" w14:textId="77777777" w:rsidR="005E69AE" w:rsidRPr="007F3A2A" w:rsidRDefault="005E69AE" w:rsidP="005E69AE">
      <w:pPr>
        <w:rPr>
          <w:lang w:val="en-US"/>
        </w:rPr>
      </w:pPr>
    </w:p>
    <w:sectPr w:rsidR="005E69AE" w:rsidRPr="007F3A2A" w:rsidSect="00A86987">
      <w:headerReference w:type="default"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AB11C" w14:textId="77777777" w:rsidR="001177B3" w:rsidRDefault="001177B3">
      <w:r>
        <w:separator/>
      </w:r>
    </w:p>
  </w:endnote>
  <w:endnote w:type="continuationSeparator" w:id="0">
    <w:p w14:paraId="7A0D60BE" w14:textId="77777777" w:rsidR="001177B3" w:rsidRDefault="00117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9685E" w14:textId="77777777" w:rsidR="001177B3" w:rsidRDefault="001177B3">
      <w:r>
        <w:separator/>
      </w:r>
    </w:p>
  </w:footnote>
  <w:footnote w:type="continuationSeparator" w:id="0">
    <w:p w14:paraId="1FED4002" w14:textId="77777777" w:rsidR="001177B3" w:rsidRDefault="001177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99B0EE3"/>
    <w:multiLevelType w:val="hybridMultilevel"/>
    <w:tmpl w:val="8E8053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1F58A9"/>
    <w:multiLevelType w:val="hybridMultilevel"/>
    <w:tmpl w:val="1A688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8BF5C1A"/>
    <w:multiLevelType w:val="multilevel"/>
    <w:tmpl w:val="20FE1C60"/>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7BE12EA"/>
    <w:multiLevelType w:val="hybridMultilevel"/>
    <w:tmpl w:val="BED45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13"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9185239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010187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8523758">
    <w:abstractNumId w:val="1"/>
  </w:num>
  <w:num w:numId="4" w16cid:durableId="314527765">
    <w:abstractNumId w:val="14"/>
  </w:num>
  <w:num w:numId="5" w16cid:durableId="636910375">
    <w:abstractNumId w:val="2"/>
  </w:num>
  <w:num w:numId="6" w16cid:durableId="628702817">
    <w:abstractNumId w:val="2"/>
  </w:num>
  <w:num w:numId="7" w16cid:durableId="822425343">
    <w:abstractNumId w:val="10"/>
  </w:num>
  <w:num w:numId="8" w16cid:durableId="858004916">
    <w:abstractNumId w:val="4"/>
  </w:num>
  <w:num w:numId="9" w16cid:durableId="686558600">
    <w:abstractNumId w:val="3"/>
  </w:num>
  <w:num w:numId="10" w16cid:durableId="777027033">
    <w:abstractNumId w:val="7"/>
  </w:num>
  <w:num w:numId="11" w16cid:durableId="899704539">
    <w:abstractNumId w:val="13"/>
  </w:num>
  <w:num w:numId="12" w16cid:durableId="980811830">
    <w:abstractNumId w:val="15"/>
  </w:num>
  <w:num w:numId="13" w16cid:durableId="529956578">
    <w:abstractNumId w:val="12"/>
  </w:num>
  <w:num w:numId="14" w16cid:durableId="1744718227">
    <w:abstractNumId w:val="11"/>
  </w:num>
  <w:num w:numId="15" w16cid:durableId="1131510691">
    <w:abstractNumId w:val="9"/>
  </w:num>
  <w:num w:numId="16" w16cid:durableId="2135097726">
    <w:abstractNumId w:val="8"/>
  </w:num>
  <w:num w:numId="17" w16cid:durableId="356737577">
    <w:abstractNumId w:val="6"/>
  </w:num>
  <w:num w:numId="18" w16cid:durableId="9004885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CC"/>
    <w:rsid w:val="0000424C"/>
    <w:rsid w:val="0001187A"/>
    <w:rsid w:val="00011FB7"/>
    <w:rsid w:val="00014EB2"/>
    <w:rsid w:val="00015CF0"/>
    <w:rsid w:val="0001722D"/>
    <w:rsid w:val="000248F1"/>
    <w:rsid w:val="000270EE"/>
    <w:rsid w:val="000277E1"/>
    <w:rsid w:val="00032EDA"/>
    <w:rsid w:val="00033397"/>
    <w:rsid w:val="0003447A"/>
    <w:rsid w:val="0003576C"/>
    <w:rsid w:val="00035BDF"/>
    <w:rsid w:val="0003655C"/>
    <w:rsid w:val="00036F6A"/>
    <w:rsid w:val="00037665"/>
    <w:rsid w:val="00037CC5"/>
    <w:rsid w:val="00040095"/>
    <w:rsid w:val="0004110C"/>
    <w:rsid w:val="00041E49"/>
    <w:rsid w:val="00042D3F"/>
    <w:rsid w:val="0004646E"/>
    <w:rsid w:val="00051834"/>
    <w:rsid w:val="00052794"/>
    <w:rsid w:val="00053087"/>
    <w:rsid w:val="00053FA3"/>
    <w:rsid w:val="00054A22"/>
    <w:rsid w:val="00054E52"/>
    <w:rsid w:val="00056B4F"/>
    <w:rsid w:val="0005730B"/>
    <w:rsid w:val="00060296"/>
    <w:rsid w:val="00061661"/>
    <w:rsid w:val="00062023"/>
    <w:rsid w:val="000626F5"/>
    <w:rsid w:val="00062A6F"/>
    <w:rsid w:val="0006526C"/>
    <w:rsid w:val="000655A6"/>
    <w:rsid w:val="00066E78"/>
    <w:rsid w:val="00066E88"/>
    <w:rsid w:val="0006708C"/>
    <w:rsid w:val="00072004"/>
    <w:rsid w:val="0007402B"/>
    <w:rsid w:val="00074CBC"/>
    <w:rsid w:val="00076E49"/>
    <w:rsid w:val="00076E7B"/>
    <w:rsid w:val="00080512"/>
    <w:rsid w:val="00081A6D"/>
    <w:rsid w:val="00082D55"/>
    <w:rsid w:val="00083FB3"/>
    <w:rsid w:val="00085FE2"/>
    <w:rsid w:val="00086A4C"/>
    <w:rsid w:val="000872A6"/>
    <w:rsid w:val="000921EA"/>
    <w:rsid w:val="00092321"/>
    <w:rsid w:val="00094B44"/>
    <w:rsid w:val="00096C65"/>
    <w:rsid w:val="000A365D"/>
    <w:rsid w:val="000A3BC6"/>
    <w:rsid w:val="000A530C"/>
    <w:rsid w:val="000A68F3"/>
    <w:rsid w:val="000B3682"/>
    <w:rsid w:val="000B379B"/>
    <w:rsid w:val="000B6541"/>
    <w:rsid w:val="000B6D93"/>
    <w:rsid w:val="000C1193"/>
    <w:rsid w:val="000C4381"/>
    <w:rsid w:val="000C47C3"/>
    <w:rsid w:val="000C547A"/>
    <w:rsid w:val="000D0937"/>
    <w:rsid w:val="000D2A2D"/>
    <w:rsid w:val="000D58AB"/>
    <w:rsid w:val="000D712A"/>
    <w:rsid w:val="000E039B"/>
    <w:rsid w:val="000E1251"/>
    <w:rsid w:val="000E4A3E"/>
    <w:rsid w:val="000E584B"/>
    <w:rsid w:val="000E5DB4"/>
    <w:rsid w:val="000E7E3F"/>
    <w:rsid w:val="000F322E"/>
    <w:rsid w:val="000F50EC"/>
    <w:rsid w:val="000F7834"/>
    <w:rsid w:val="00100B3C"/>
    <w:rsid w:val="0010140A"/>
    <w:rsid w:val="001014EA"/>
    <w:rsid w:val="00101FFB"/>
    <w:rsid w:val="001032BC"/>
    <w:rsid w:val="00104BC6"/>
    <w:rsid w:val="00104DC3"/>
    <w:rsid w:val="0010526D"/>
    <w:rsid w:val="001064E7"/>
    <w:rsid w:val="00107FB2"/>
    <w:rsid w:val="00114E2C"/>
    <w:rsid w:val="00116FB9"/>
    <w:rsid w:val="0011749B"/>
    <w:rsid w:val="001177B3"/>
    <w:rsid w:val="0012407D"/>
    <w:rsid w:val="00126CA6"/>
    <w:rsid w:val="00132BFB"/>
    <w:rsid w:val="00133525"/>
    <w:rsid w:val="0013382D"/>
    <w:rsid w:val="00136368"/>
    <w:rsid w:val="001375F4"/>
    <w:rsid w:val="00140B8D"/>
    <w:rsid w:val="00141DDF"/>
    <w:rsid w:val="001442FA"/>
    <w:rsid w:val="00146221"/>
    <w:rsid w:val="00152973"/>
    <w:rsid w:val="00153EA5"/>
    <w:rsid w:val="001542D7"/>
    <w:rsid w:val="00155F71"/>
    <w:rsid w:val="0015753C"/>
    <w:rsid w:val="00161A9C"/>
    <w:rsid w:val="00164651"/>
    <w:rsid w:val="00172A7E"/>
    <w:rsid w:val="00172B69"/>
    <w:rsid w:val="00173B76"/>
    <w:rsid w:val="00173B8B"/>
    <w:rsid w:val="00176C55"/>
    <w:rsid w:val="00176E29"/>
    <w:rsid w:val="00177BF7"/>
    <w:rsid w:val="00181C7F"/>
    <w:rsid w:val="001825E3"/>
    <w:rsid w:val="001827A9"/>
    <w:rsid w:val="00183DAE"/>
    <w:rsid w:val="00190B1E"/>
    <w:rsid w:val="00191D36"/>
    <w:rsid w:val="00193E3A"/>
    <w:rsid w:val="001940D3"/>
    <w:rsid w:val="0019624E"/>
    <w:rsid w:val="00197FDE"/>
    <w:rsid w:val="001A1AA4"/>
    <w:rsid w:val="001A39E7"/>
    <w:rsid w:val="001A3E60"/>
    <w:rsid w:val="001A4C42"/>
    <w:rsid w:val="001A4E68"/>
    <w:rsid w:val="001A5253"/>
    <w:rsid w:val="001A6573"/>
    <w:rsid w:val="001A6EBE"/>
    <w:rsid w:val="001A714D"/>
    <w:rsid w:val="001B07FD"/>
    <w:rsid w:val="001B134A"/>
    <w:rsid w:val="001B29A1"/>
    <w:rsid w:val="001B5B90"/>
    <w:rsid w:val="001B67CA"/>
    <w:rsid w:val="001C21C3"/>
    <w:rsid w:val="001C2FEA"/>
    <w:rsid w:val="001C4310"/>
    <w:rsid w:val="001C49E6"/>
    <w:rsid w:val="001C4A7D"/>
    <w:rsid w:val="001C5748"/>
    <w:rsid w:val="001C7B1F"/>
    <w:rsid w:val="001D02C2"/>
    <w:rsid w:val="001D0318"/>
    <w:rsid w:val="001D03D7"/>
    <w:rsid w:val="001D3700"/>
    <w:rsid w:val="001D5598"/>
    <w:rsid w:val="001D7DBE"/>
    <w:rsid w:val="001E0E8A"/>
    <w:rsid w:val="001E4C87"/>
    <w:rsid w:val="001F0C1D"/>
    <w:rsid w:val="001F1132"/>
    <w:rsid w:val="001F168B"/>
    <w:rsid w:val="001F1E66"/>
    <w:rsid w:val="001F29BF"/>
    <w:rsid w:val="001F2DBE"/>
    <w:rsid w:val="001F2DE3"/>
    <w:rsid w:val="001F5F92"/>
    <w:rsid w:val="001F6D59"/>
    <w:rsid w:val="001F7AB5"/>
    <w:rsid w:val="001F7F82"/>
    <w:rsid w:val="00200328"/>
    <w:rsid w:val="00203852"/>
    <w:rsid w:val="00203F71"/>
    <w:rsid w:val="002124DC"/>
    <w:rsid w:val="0021467A"/>
    <w:rsid w:val="00215574"/>
    <w:rsid w:val="0021742C"/>
    <w:rsid w:val="00223D79"/>
    <w:rsid w:val="00227393"/>
    <w:rsid w:val="002330E2"/>
    <w:rsid w:val="002334C4"/>
    <w:rsid w:val="002347A2"/>
    <w:rsid w:val="00236FDB"/>
    <w:rsid w:val="00243987"/>
    <w:rsid w:val="00245DBF"/>
    <w:rsid w:val="00247926"/>
    <w:rsid w:val="00251005"/>
    <w:rsid w:val="002520AD"/>
    <w:rsid w:val="002545D3"/>
    <w:rsid w:val="00256451"/>
    <w:rsid w:val="0025766C"/>
    <w:rsid w:val="002608E5"/>
    <w:rsid w:val="00261AE0"/>
    <w:rsid w:val="0026644B"/>
    <w:rsid w:val="002675F0"/>
    <w:rsid w:val="00273A3E"/>
    <w:rsid w:val="00276EE4"/>
    <w:rsid w:val="00281AE2"/>
    <w:rsid w:val="0028330D"/>
    <w:rsid w:val="00287F31"/>
    <w:rsid w:val="002A0775"/>
    <w:rsid w:val="002A093B"/>
    <w:rsid w:val="002A380C"/>
    <w:rsid w:val="002A464A"/>
    <w:rsid w:val="002A769C"/>
    <w:rsid w:val="002A79F8"/>
    <w:rsid w:val="002B1D7E"/>
    <w:rsid w:val="002B1EA2"/>
    <w:rsid w:val="002B381C"/>
    <w:rsid w:val="002B479C"/>
    <w:rsid w:val="002B6339"/>
    <w:rsid w:val="002B6DF9"/>
    <w:rsid w:val="002C0B2F"/>
    <w:rsid w:val="002C275A"/>
    <w:rsid w:val="002C6B80"/>
    <w:rsid w:val="002C7B3F"/>
    <w:rsid w:val="002D26CA"/>
    <w:rsid w:val="002D2E22"/>
    <w:rsid w:val="002D3BC5"/>
    <w:rsid w:val="002D6E04"/>
    <w:rsid w:val="002E00EE"/>
    <w:rsid w:val="002E07CC"/>
    <w:rsid w:val="002E174C"/>
    <w:rsid w:val="002E3343"/>
    <w:rsid w:val="002E4080"/>
    <w:rsid w:val="002E4411"/>
    <w:rsid w:val="002E65BE"/>
    <w:rsid w:val="002F259A"/>
    <w:rsid w:val="002F3A0F"/>
    <w:rsid w:val="002F3FB7"/>
    <w:rsid w:val="002F6F2B"/>
    <w:rsid w:val="002F7647"/>
    <w:rsid w:val="00301456"/>
    <w:rsid w:val="00302805"/>
    <w:rsid w:val="003037A3"/>
    <w:rsid w:val="00305920"/>
    <w:rsid w:val="003077A8"/>
    <w:rsid w:val="00311E10"/>
    <w:rsid w:val="0031302C"/>
    <w:rsid w:val="003172DC"/>
    <w:rsid w:val="00320180"/>
    <w:rsid w:val="00323B17"/>
    <w:rsid w:val="003337C9"/>
    <w:rsid w:val="00333B69"/>
    <w:rsid w:val="00335059"/>
    <w:rsid w:val="00335226"/>
    <w:rsid w:val="00335709"/>
    <w:rsid w:val="00336051"/>
    <w:rsid w:val="003378AE"/>
    <w:rsid w:val="00340356"/>
    <w:rsid w:val="0034052F"/>
    <w:rsid w:val="0034176B"/>
    <w:rsid w:val="00345D23"/>
    <w:rsid w:val="00346C0D"/>
    <w:rsid w:val="00354344"/>
    <w:rsid w:val="0035462D"/>
    <w:rsid w:val="003549AE"/>
    <w:rsid w:val="00360AA9"/>
    <w:rsid w:val="00361509"/>
    <w:rsid w:val="00361696"/>
    <w:rsid w:val="00362E86"/>
    <w:rsid w:val="003646A7"/>
    <w:rsid w:val="00364FD0"/>
    <w:rsid w:val="00366EFA"/>
    <w:rsid w:val="003678A3"/>
    <w:rsid w:val="00370CD9"/>
    <w:rsid w:val="00374FC5"/>
    <w:rsid w:val="0037554F"/>
    <w:rsid w:val="0037584B"/>
    <w:rsid w:val="003765B8"/>
    <w:rsid w:val="00380D4D"/>
    <w:rsid w:val="00382880"/>
    <w:rsid w:val="00383106"/>
    <w:rsid w:val="00383D3F"/>
    <w:rsid w:val="00387382"/>
    <w:rsid w:val="00387858"/>
    <w:rsid w:val="003909CA"/>
    <w:rsid w:val="00391EDD"/>
    <w:rsid w:val="00393EA5"/>
    <w:rsid w:val="003961F3"/>
    <w:rsid w:val="003A0483"/>
    <w:rsid w:val="003A09BA"/>
    <w:rsid w:val="003A18C7"/>
    <w:rsid w:val="003A3A25"/>
    <w:rsid w:val="003A5B91"/>
    <w:rsid w:val="003B076D"/>
    <w:rsid w:val="003B109E"/>
    <w:rsid w:val="003B1540"/>
    <w:rsid w:val="003B33DB"/>
    <w:rsid w:val="003B3719"/>
    <w:rsid w:val="003B4A2F"/>
    <w:rsid w:val="003B4C10"/>
    <w:rsid w:val="003C00A0"/>
    <w:rsid w:val="003C3971"/>
    <w:rsid w:val="003C458E"/>
    <w:rsid w:val="003C5715"/>
    <w:rsid w:val="003D487F"/>
    <w:rsid w:val="003D55A8"/>
    <w:rsid w:val="003D566C"/>
    <w:rsid w:val="003D649C"/>
    <w:rsid w:val="003D713C"/>
    <w:rsid w:val="003D7EE1"/>
    <w:rsid w:val="003D7EFE"/>
    <w:rsid w:val="003E0648"/>
    <w:rsid w:val="003E1664"/>
    <w:rsid w:val="003E1C53"/>
    <w:rsid w:val="003E390C"/>
    <w:rsid w:val="003E7753"/>
    <w:rsid w:val="003F1DE9"/>
    <w:rsid w:val="003F71F9"/>
    <w:rsid w:val="00400AFA"/>
    <w:rsid w:val="00401166"/>
    <w:rsid w:val="00402454"/>
    <w:rsid w:val="00402B48"/>
    <w:rsid w:val="00404DEA"/>
    <w:rsid w:val="004050EA"/>
    <w:rsid w:val="004078DB"/>
    <w:rsid w:val="00407C75"/>
    <w:rsid w:val="00410C74"/>
    <w:rsid w:val="00411322"/>
    <w:rsid w:val="004116EB"/>
    <w:rsid w:val="00414FEE"/>
    <w:rsid w:val="004177EB"/>
    <w:rsid w:val="004202D2"/>
    <w:rsid w:val="00423334"/>
    <w:rsid w:val="00424339"/>
    <w:rsid w:val="00430810"/>
    <w:rsid w:val="00430D10"/>
    <w:rsid w:val="004339D2"/>
    <w:rsid w:val="00434540"/>
    <w:rsid w:val="004345EC"/>
    <w:rsid w:val="0043541E"/>
    <w:rsid w:val="00436019"/>
    <w:rsid w:val="004367C9"/>
    <w:rsid w:val="004401CB"/>
    <w:rsid w:val="00443B1F"/>
    <w:rsid w:val="004473AE"/>
    <w:rsid w:val="00450487"/>
    <w:rsid w:val="004508D2"/>
    <w:rsid w:val="004509C1"/>
    <w:rsid w:val="00450B2E"/>
    <w:rsid w:val="00450B5C"/>
    <w:rsid w:val="00452229"/>
    <w:rsid w:val="004534E4"/>
    <w:rsid w:val="00453CB9"/>
    <w:rsid w:val="00454592"/>
    <w:rsid w:val="004556E0"/>
    <w:rsid w:val="00460045"/>
    <w:rsid w:val="004634D0"/>
    <w:rsid w:val="004640F5"/>
    <w:rsid w:val="00465596"/>
    <w:rsid w:val="004661C2"/>
    <w:rsid w:val="0047076F"/>
    <w:rsid w:val="00471049"/>
    <w:rsid w:val="00471735"/>
    <w:rsid w:val="00472DB8"/>
    <w:rsid w:val="004758E7"/>
    <w:rsid w:val="004759F3"/>
    <w:rsid w:val="00475B1A"/>
    <w:rsid w:val="004826A9"/>
    <w:rsid w:val="00482883"/>
    <w:rsid w:val="004837BD"/>
    <w:rsid w:val="00484657"/>
    <w:rsid w:val="00484CDE"/>
    <w:rsid w:val="00485640"/>
    <w:rsid w:val="00491BD5"/>
    <w:rsid w:val="00493FEF"/>
    <w:rsid w:val="00496011"/>
    <w:rsid w:val="00496ACE"/>
    <w:rsid w:val="0049720D"/>
    <w:rsid w:val="004A0895"/>
    <w:rsid w:val="004A0BE5"/>
    <w:rsid w:val="004A14E4"/>
    <w:rsid w:val="004A22C7"/>
    <w:rsid w:val="004A3213"/>
    <w:rsid w:val="004A4662"/>
    <w:rsid w:val="004B0BA7"/>
    <w:rsid w:val="004B0DDB"/>
    <w:rsid w:val="004B19F2"/>
    <w:rsid w:val="004B2762"/>
    <w:rsid w:val="004B2FA7"/>
    <w:rsid w:val="004B4025"/>
    <w:rsid w:val="004B4047"/>
    <w:rsid w:val="004B6798"/>
    <w:rsid w:val="004C1601"/>
    <w:rsid w:val="004C3099"/>
    <w:rsid w:val="004C3B4F"/>
    <w:rsid w:val="004C4EA0"/>
    <w:rsid w:val="004C73F1"/>
    <w:rsid w:val="004C7B37"/>
    <w:rsid w:val="004D3578"/>
    <w:rsid w:val="004D4338"/>
    <w:rsid w:val="004D640B"/>
    <w:rsid w:val="004D640E"/>
    <w:rsid w:val="004E03DB"/>
    <w:rsid w:val="004E17C7"/>
    <w:rsid w:val="004E213A"/>
    <w:rsid w:val="004E2D77"/>
    <w:rsid w:val="004E39F9"/>
    <w:rsid w:val="004E3D20"/>
    <w:rsid w:val="004E430C"/>
    <w:rsid w:val="004E4647"/>
    <w:rsid w:val="004E54EF"/>
    <w:rsid w:val="004E7C55"/>
    <w:rsid w:val="004E7FD6"/>
    <w:rsid w:val="004F070D"/>
    <w:rsid w:val="004F0988"/>
    <w:rsid w:val="004F1AE3"/>
    <w:rsid w:val="004F1BD6"/>
    <w:rsid w:val="004F29F1"/>
    <w:rsid w:val="004F3340"/>
    <w:rsid w:val="004F3E3D"/>
    <w:rsid w:val="00502B2C"/>
    <w:rsid w:val="005061B8"/>
    <w:rsid w:val="00507A2A"/>
    <w:rsid w:val="00510811"/>
    <w:rsid w:val="0051257F"/>
    <w:rsid w:val="005149D9"/>
    <w:rsid w:val="00515717"/>
    <w:rsid w:val="005158CE"/>
    <w:rsid w:val="0051617C"/>
    <w:rsid w:val="00526610"/>
    <w:rsid w:val="00527F8B"/>
    <w:rsid w:val="0053243A"/>
    <w:rsid w:val="0053388B"/>
    <w:rsid w:val="005345D1"/>
    <w:rsid w:val="00535773"/>
    <w:rsid w:val="0053790B"/>
    <w:rsid w:val="00537BFA"/>
    <w:rsid w:val="00540005"/>
    <w:rsid w:val="00540B66"/>
    <w:rsid w:val="00543E6C"/>
    <w:rsid w:val="00551E8E"/>
    <w:rsid w:val="00554FE1"/>
    <w:rsid w:val="00555723"/>
    <w:rsid w:val="00556339"/>
    <w:rsid w:val="005571AD"/>
    <w:rsid w:val="00560943"/>
    <w:rsid w:val="005636C1"/>
    <w:rsid w:val="005641AF"/>
    <w:rsid w:val="00565087"/>
    <w:rsid w:val="00570ED1"/>
    <w:rsid w:val="0057261C"/>
    <w:rsid w:val="00572E14"/>
    <w:rsid w:val="005735FE"/>
    <w:rsid w:val="005742FD"/>
    <w:rsid w:val="005743C8"/>
    <w:rsid w:val="00574C84"/>
    <w:rsid w:val="005770E5"/>
    <w:rsid w:val="00580C3D"/>
    <w:rsid w:val="005837C8"/>
    <w:rsid w:val="005861FD"/>
    <w:rsid w:val="00586C34"/>
    <w:rsid w:val="00592B9E"/>
    <w:rsid w:val="00594CBD"/>
    <w:rsid w:val="0059615C"/>
    <w:rsid w:val="005973BE"/>
    <w:rsid w:val="005A151E"/>
    <w:rsid w:val="005A3590"/>
    <w:rsid w:val="005A407F"/>
    <w:rsid w:val="005A4164"/>
    <w:rsid w:val="005A5986"/>
    <w:rsid w:val="005A5D1C"/>
    <w:rsid w:val="005A7F03"/>
    <w:rsid w:val="005B1FF6"/>
    <w:rsid w:val="005B2BAF"/>
    <w:rsid w:val="005B4F01"/>
    <w:rsid w:val="005C0650"/>
    <w:rsid w:val="005C24B2"/>
    <w:rsid w:val="005C5712"/>
    <w:rsid w:val="005C5D09"/>
    <w:rsid w:val="005C5EAF"/>
    <w:rsid w:val="005D0294"/>
    <w:rsid w:val="005D09FD"/>
    <w:rsid w:val="005D2E01"/>
    <w:rsid w:val="005D5AE3"/>
    <w:rsid w:val="005D5F93"/>
    <w:rsid w:val="005D6E3E"/>
    <w:rsid w:val="005D740A"/>
    <w:rsid w:val="005D7526"/>
    <w:rsid w:val="005E0188"/>
    <w:rsid w:val="005E088B"/>
    <w:rsid w:val="005E1B49"/>
    <w:rsid w:val="005E6173"/>
    <w:rsid w:val="005E69AE"/>
    <w:rsid w:val="005E7E9A"/>
    <w:rsid w:val="005F024B"/>
    <w:rsid w:val="005F249D"/>
    <w:rsid w:val="005F3817"/>
    <w:rsid w:val="005F4E02"/>
    <w:rsid w:val="005F6F36"/>
    <w:rsid w:val="00602AEA"/>
    <w:rsid w:val="00606F5E"/>
    <w:rsid w:val="00607527"/>
    <w:rsid w:val="00607E3C"/>
    <w:rsid w:val="00607F21"/>
    <w:rsid w:val="00610107"/>
    <w:rsid w:val="0061146F"/>
    <w:rsid w:val="00612392"/>
    <w:rsid w:val="0061273C"/>
    <w:rsid w:val="00613B1E"/>
    <w:rsid w:val="00614FDF"/>
    <w:rsid w:val="0061661D"/>
    <w:rsid w:val="00620B0F"/>
    <w:rsid w:val="006212AD"/>
    <w:rsid w:val="00623226"/>
    <w:rsid w:val="006243F0"/>
    <w:rsid w:val="006246A7"/>
    <w:rsid w:val="00624A1C"/>
    <w:rsid w:val="00625131"/>
    <w:rsid w:val="0062595A"/>
    <w:rsid w:val="00627EB9"/>
    <w:rsid w:val="00631A7C"/>
    <w:rsid w:val="0063543D"/>
    <w:rsid w:val="006432CB"/>
    <w:rsid w:val="00645891"/>
    <w:rsid w:val="00647114"/>
    <w:rsid w:val="0065020B"/>
    <w:rsid w:val="006509AD"/>
    <w:rsid w:val="00650C1E"/>
    <w:rsid w:val="006514BA"/>
    <w:rsid w:val="0065271E"/>
    <w:rsid w:val="00655109"/>
    <w:rsid w:val="0065577E"/>
    <w:rsid w:val="00657AC7"/>
    <w:rsid w:val="0066115B"/>
    <w:rsid w:val="00661381"/>
    <w:rsid w:val="0066181A"/>
    <w:rsid w:val="006621C7"/>
    <w:rsid w:val="006670A9"/>
    <w:rsid w:val="00667679"/>
    <w:rsid w:val="00671D99"/>
    <w:rsid w:val="00672206"/>
    <w:rsid w:val="00674978"/>
    <w:rsid w:val="00677B76"/>
    <w:rsid w:val="00677BD4"/>
    <w:rsid w:val="00680420"/>
    <w:rsid w:val="00681446"/>
    <w:rsid w:val="00685600"/>
    <w:rsid w:val="00686020"/>
    <w:rsid w:val="00686CE3"/>
    <w:rsid w:val="006921DA"/>
    <w:rsid w:val="006974B3"/>
    <w:rsid w:val="006A2D0C"/>
    <w:rsid w:val="006A323F"/>
    <w:rsid w:val="006A53BF"/>
    <w:rsid w:val="006A66EB"/>
    <w:rsid w:val="006B00F7"/>
    <w:rsid w:val="006B30D0"/>
    <w:rsid w:val="006B3A46"/>
    <w:rsid w:val="006B41D6"/>
    <w:rsid w:val="006B518D"/>
    <w:rsid w:val="006B5BC1"/>
    <w:rsid w:val="006C196E"/>
    <w:rsid w:val="006C29A3"/>
    <w:rsid w:val="006C3B46"/>
    <w:rsid w:val="006C3D95"/>
    <w:rsid w:val="006C7B00"/>
    <w:rsid w:val="006D0467"/>
    <w:rsid w:val="006D296B"/>
    <w:rsid w:val="006D33B5"/>
    <w:rsid w:val="006D4E1B"/>
    <w:rsid w:val="006D56CF"/>
    <w:rsid w:val="006D77D7"/>
    <w:rsid w:val="006E1889"/>
    <w:rsid w:val="006E5C86"/>
    <w:rsid w:val="006F12BA"/>
    <w:rsid w:val="006F1FC9"/>
    <w:rsid w:val="006F5C77"/>
    <w:rsid w:val="006F682D"/>
    <w:rsid w:val="006F6BC7"/>
    <w:rsid w:val="006F7CE5"/>
    <w:rsid w:val="007019C8"/>
    <w:rsid w:val="007023DC"/>
    <w:rsid w:val="0070498B"/>
    <w:rsid w:val="00706773"/>
    <w:rsid w:val="00707B8B"/>
    <w:rsid w:val="007129D7"/>
    <w:rsid w:val="00713C44"/>
    <w:rsid w:val="0071576F"/>
    <w:rsid w:val="00715888"/>
    <w:rsid w:val="00715C43"/>
    <w:rsid w:val="0071790E"/>
    <w:rsid w:val="00717F80"/>
    <w:rsid w:val="00720790"/>
    <w:rsid w:val="00721B14"/>
    <w:rsid w:val="00723101"/>
    <w:rsid w:val="007237B7"/>
    <w:rsid w:val="00723AB5"/>
    <w:rsid w:val="00724089"/>
    <w:rsid w:val="00726FD4"/>
    <w:rsid w:val="0072781C"/>
    <w:rsid w:val="00730E94"/>
    <w:rsid w:val="00730ED4"/>
    <w:rsid w:val="00731010"/>
    <w:rsid w:val="0073107D"/>
    <w:rsid w:val="00731E89"/>
    <w:rsid w:val="00734206"/>
    <w:rsid w:val="00734A5B"/>
    <w:rsid w:val="0074026F"/>
    <w:rsid w:val="00740399"/>
    <w:rsid w:val="00742130"/>
    <w:rsid w:val="0074235C"/>
    <w:rsid w:val="007429F6"/>
    <w:rsid w:val="00743F80"/>
    <w:rsid w:val="0074463D"/>
    <w:rsid w:val="00744E76"/>
    <w:rsid w:val="0074525F"/>
    <w:rsid w:val="007465EE"/>
    <w:rsid w:val="00752198"/>
    <w:rsid w:val="00753881"/>
    <w:rsid w:val="00755E78"/>
    <w:rsid w:val="00756C8C"/>
    <w:rsid w:val="00761C53"/>
    <w:rsid w:val="00761D68"/>
    <w:rsid w:val="007637C4"/>
    <w:rsid w:val="007660BB"/>
    <w:rsid w:val="00771280"/>
    <w:rsid w:val="00771457"/>
    <w:rsid w:val="00774DA4"/>
    <w:rsid w:val="00781F0F"/>
    <w:rsid w:val="00784368"/>
    <w:rsid w:val="00785B75"/>
    <w:rsid w:val="00786C91"/>
    <w:rsid w:val="00790F16"/>
    <w:rsid w:val="00792460"/>
    <w:rsid w:val="00792C7A"/>
    <w:rsid w:val="0079785A"/>
    <w:rsid w:val="007A0D0C"/>
    <w:rsid w:val="007A1134"/>
    <w:rsid w:val="007A299C"/>
    <w:rsid w:val="007A491F"/>
    <w:rsid w:val="007A4C28"/>
    <w:rsid w:val="007A636A"/>
    <w:rsid w:val="007B083C"/>
    <w:rsid w:val="007B4578"/>
    <w:rsid w:val="007B600E"/>
    <w:rsid w:val="007B6FD1"/>
    <w:rsid w:val="007C1669"/>
    <w:rsid w:val="007C5B26"/>
    <w:rsid w:val="007C7952"/>
    <w:rsid w:val="007D2E3A"/>
    <w:rsid w:val="007D34C1"/>
    <w:rsid w:val="007D49C9"/>
    <w:rsid w:val="007D5D1F"/>
    <w:rsid w:val="007E0E48"/>
    <w:rsid w:val="007E1D0F"/>
    <w:rsid w:val="007E2A38"/>
    <w:rsid w:val="007E4991"/>
    <w:rsid w:val="007E4AF8"/>
    <w:rsid w:val="007F0F4A"/>
    <w:rsid w:val="007F14DE"/>
    <w:rsid w:val="007F1B4F"/>
    <w:rsid w:val="007F2557"/>
    <w:rsid w:val="007F291B"/>
    <w:rsid w:val="007F3A2A"/>
    <w:rsid w:val="007F425A"/>
    <w:rsid w:val="007F5768"/>
    <w:rsid w:val="00801886"/>
    <w:rsid w:val="008028A4"/>
    <w:rsid w:val="008039A5"/>
    <w:rsid w:val="00803E9D"/>
    <w:rsid w:val="008058E6"/>
    <w:rsid w:val="00805CA2"/>
    <w:rsid w:val="008104E4"/>
    <w:rsid w:val="0081084D"/>
    <w:rsid w:val="00812481"/>
    <w:rsid w:val="00816DE9"/>
    <w:rsid w:val="00820B25"/>
    <w:rsid w:val="00824F13"/>
    <w:rsid w:val="00825FDD"/>
    <w:rsid w:val="00826732"/>
    <w:rsid w:val="00826D83"/>
    <w:rsid w:val="00830747"/>
    <w:rsid w:val="00830968"/>
    <w:rsid w:val="0083542B"/>
    <w:rsid w:val="00837FDF"/>
    <w:rsid w:val="0084223F"/>
    <w:rsid w:val="0084235D"/>
    <w:rsid w:val="00850FBB"/>
    <w:rsid w:val="00855940"/>
    <w:rsid w:val="008569E2"/>
    <w:rsid w:val="0086119F"/>
    <w:rsid w:val="00862676"/>
    <w:rsid w:val="00864223"/>
    <w:rsid w:val="00865685"/>
    <w:rsid w:val="00867A57"/>
    <w:rsid w:val="00874CD0"/>
    <w:rsid w:val="008768CA"/>
    <w:rsid w:val="00885124"/>
    <w:rsid w:val="008853FE"/>
    <w:rsid w:val="00887A6F"/>
    <w:rsid w:val="00891525"/>
    <w:rsid w:val="008929FC"/>
    <w:rsid w:val="00895B90"/>
    <w:rsid w:val="008974F7"/>
    <w:rsid w:val="008A093A"/>
    <w:rsid w:val="008A1B6C"/>
    <w:rsid w:val="008A4747"/>
    <w:rsid w:val="008A7F78"/>
    <w:rsid w:val="008B5634"/>
    <w:rsid w:val="008C06C2"/>
    <w:rsid w:val="008C2A97"/>
    <w:rsid w:val="008C384C"/>
    <w:rsid w:val="008C3B11"/>
    <w:rsid w:val="008C45AE"/>
    <w:rsid w:val="008C47C8"/>
    <w:rsid w:val="008D056D"/>
    <w:rsid w:val="008D1EEC"/>
    <w:rsid w:val="008D5B4B"/>
    <w:rsid w:val="008D6D00"/>
    <w:rsid w:val="008E7986"/>
    <w:rsid w:val="008F194F"/>
    <w:rsid w:val="008F2044"/>
    <w:rsid w:val="008F5338"/>
    <w:rsid w:val="008F5928"/>
    <w:rsid w:val="008F65D3"/>
    <w:rsid w:val="00900A09"/>
    <w:rsid w:val="009020CF"/>
    <w:rsid w:val="0090271F"/>
    <w:rsid w:val="00902E23"/>
    <w:rsid w:val="00903EF6"/>
    <w:rsid w:val="009114D7"/>
    <w:rsid w:val="0091348E"/>
    <w:rsid w:val="00913CC1"/>
    <w:rsid w:val="00913CDB"/>
    <w:rsid w:val="009158ED"/>
    <w:rsid w:val="00916B79"/>
    <w:rsid w:val="009172EC"/>
    <w:rsid w:val="00917CCB"/>
    <w:rsid w:val="00920AF7"/>
    <w:rsid w:val="00920BF7"/>
    <w:rsid w:val="00922D77"/>
    <w:rsid w:val="00922D89"/>
    <w:rsid w:val="00924528"/>
    <w:rsid w:val="00925445"/>
    <w:rsid w:val="009259F7"/>
    <w:rsid w:val="009266A0"/>
    <w:rsid w:val="0093316D"/>
    <w:rsid w:val="009338EA"/>
    <w:rsid w:val="009350F0"/>
    <w:rsid w:val="00936F86"/>
    <w:rsid w:val="00940D43"/>
    <w:rsid w:val="00941FCB"/>
    <w:rsid w:val="0094247C"/>
    <w:rsid w:val="00942EC2"/>
    <w:rsid w:val="00943C42"/>
    <w:rsid w:val="00945B01"/>
    <w:rsid w:val="00947BE2"/>
    <w:rsid w:val="00947D58"/>
    <w:rsid w:val="009516F6"/>
    <w:rsid w:val="00956B2E"/>
    <w:rsid w:val="00957DE8"/>
    <w:rsid w:val="009633B2"/>
    <w:rsid w:val="0096388D"/>
    <w:rsid w:val="00963B7B"/>
    <w:rsid w:val="00964EEE"/>
    <w:rsid w:val="00973826"/>
    <w:rsid w:val="00974D08"/>
    <w:rsid w:val="0097761D"/>
    <w:rsid w:val="00984171"/>
    <w:rsid w:val="00984BEF"/>
    <w:rsid w:val="009860B5"/>
    <w:rsid w:val="00986430"/>
    <w:rsid w:val="00990021"/>
    <w:rsid w:val="00990C59"/>
    <w:rsid w:val="0099182F"/>
    <w:rsid w:val="0099327F"/>
    <w:rsid w:val="00993BA7"/>
    <w:rsid w:val="009943F1"/>
    <w:rsid w:val="00994F73"/>
    <w:rsid w:val="009A3B6B"/>
    <w:rsid w:val="009A760C"/>
    <w:rsid w:val="009B1B30"/>
    <w:rsid w:val="009B3C6C"/>
    <w:rsid w:val="009B56FF"/>
    <w:rsid w:val="009B642E"/>
    <w:rsid w:val="009C067E"/>
    <w:rsid w:val="009C13C6"/>
    <w:rsid w:val="009C1CEF"/>
    <w:rsid w:val="009C2B6D"/>
    <w:rsid w:val="009C2C1B"/>
    <w:rsid w:val="009C34D5"/>
    <w:rsid w:val="009D0D8F"/>
    <w:rsid w:val="009D226F"/>
    <w:rsid w:val="009D246A"/>
    <w:rsid w:val="009E0C85"/>
    <w:rsid w:val="009E3F3C"/>
    <w:rsid w:val="009E56FA"/>
    <w:rsid w:val="009E6F2A"/>
    <w:rsid w:val="009E7750"/>
    <w:rsid w:val="009F1A90"/>
    <w:rsid w:val="009F1D6A"/>
    <w:rsid w:val="009F37B7"/>
    <w:rsid w:val="009F4AC4"/>
    <w:rsid w:val="009F5E43"/>
    <w:rsid w:val="00A0120D"/>
    <w:rsid w:val="00A06AD9"/>
    <w:rsid w:val="00A10F02"/>
    <w:rsid w:val="00A15BD4"/>
    <w:rsid w:val="00A164B4"/>
    <w:rsid w:val="00A200FA"/>
    <w:rsid w:val="00A21055"/>
    <w:rsid w:val="00A2276D"/>
    <w:rsid w:val="00A2341D"/>
    <w:rsid w:val="00A2361D"/>
    <w:rsid w:val="00A24E12"/>
    <w:rsid w:val="00A252E2"/>
    <w:rsid w:val="00A25809"/>
    <w:rsid w:val="00A25B0C"/>
    <w:rsid w:val="00A26956"/>
    <w:rsid w:val="00A270AD"/>
    <w:rsid w:val="00A27588"/>
    <w:rsid w:val="00A309A6"/>
    <w:rsid w:val="00A30E3E"/>
    <w:rsid w:val="00A31B55"/>
    <w:rsid w:val="00A34A2F"/>
    <w:rsid w:val="00A34EB1"/>
    <w:rsid w:val="00A3707C"/>
    <w:rsid w:val="00A37F70"/>
    <w:rsid w:val="00A43197"/>
    <w:rsid w:val="00A53525"/>
    <w:rsid w:val="00A53724"/>
    <w:rsid w:val="00A54125"/>
    <w:rsid w:val="00A60200"/>
    <w:rsid w:val="00A628EB"/>
    <w:rsid w:val="00A64D9D"/>
    <w:rsid w:val="00A65D22"/>
    <w:rsid w:val="00A6628E"/>
    <w:rsid w:val="00A66A6C"/>
    <w:rsid w:val="00A70B96"/>
    <w:rsid w:val="00A73129"/>
    <w:rsid w:val="00A768E6"/>
    <w:rsid w:val="00A7707C"/>
    <w:rsid w:val="00A773A1"/>
    <w:rsid w:val="00A815F8"/>
    <w:rsid w:val="00A82346"/>
    <w:rsid w:val="00A84761"/>
    <w:rsid w:val="00A85299"/>
    <w:rsid w:val="00A86987"/>
    <w:rsid w:val="00A90AB9"/>
    <w:rsid w:val="00A91526"/>
    <w:rsid w:val="00A91ADA"/>
    <w:rsid w:val="00A91E7B"/>
    <w:rsid w:val="00A92BA1"/>
    <w:rsid w:val="00A92DDA"/>
    <w:rsid w:val="00A955A1"/>
    <w:rsid w:val="00AA1E5C"/>
    <w:rsid w:val="00AB0E32"/>
    <w:rsid w:val="00AB1B6E"/>
    <w:rsid w:val="00AB2D85"/>
    <w:rsid w:val="00AB635B"/>
    <w:rsid w:val="00AB6DF1"/>
    <w:rsid w:val="00AB7490"/>
    <w:rsid w:val="00AB7D83"/>
    <w:rsid w:val="00AC54C6"/>
    <w:rsid w:val="00AC6BC6"/>
    <w:rsid w:val="00AD0109"/>
    <w:rsid w:val="00AD08DE"/>
    <w:rsid w:val="00AD0CF7"/>
    <w:rsid w:val="00AD108D"/>
    <w:rsid w:val="00AD4E3B"/>
    <w:rsid w:val="00AE18A3"/>
    <w:rsid w:val="00AE1BAE"/>
    <w:rsid w:val="00AE3797"/>
    <w:rsid w:val="00AE4BB3"/>
    <w:rsid w:val="00AF0560"/>
    <w:rsid w:val="00AF142E"/>
    <w:rsid w:val="00AF4E68"/>
    <w:rsid w:val="00AF6F1D"/>
    <w:rsid w:val="00AF7049"/>
    <w:rsid w:val="00AF7255"/>
    <w:rsid w:val="00B01D94"/>
    <w:rsid w:val="00B02BC6"/>
    <w:rsid w:val="00B02C90"/>
    <w:rsid w:val="00B036C2"/>
    <w:rsid w:val="00B04944"/>
    <w:rsid w:val="00B055D4"/>
    <w:rsid w:val="00B074B4"/>
    <w:rsid w:val="00B11341"/>
    <w:rsid w:val="00B1161C"/>
    <w:rsid w:val="00B11BDD"/>
    <w:rsid w:val="00B13FDC"/>
    <w:rsid w:val="00B15449"/>
    <w:rsid w:val="00B15899"/>
    <w:rsid w:val="00B164B8"/>
    <w:rsid w:val="00B174A5"/>
    <w:rsid w:val="00B21F86"/>
    <w:rsid w:val="00B22207"/>
    <w:rsid w:val="00B2388D"/>
    <w:rsid w:val="00B23FC5"/>
    <w:rsid w:val="00B26425"/>
    <w:rsid w:val="00B312F2"/>
    <w:rsid w:val="00B31AF8"/>
    <w:rsid w:val="00B3313E"/>
    <w:rsid w:val="00B35701"/>
    <w:rsid w:val="00B35CA9"/>
    <w:rsid w:val="00B36DD5"/>
    <w:rsid w:val="00B403E8"/>
    <w:rsid w:val="00B40473"/>
    <w:rsid w:val="00B40A30"/>
    <w:rsid w:val="00B41D49"/>
    <w:rsid w:val="00B42610"/>
    <w:rsid w:val="00B42F39"/>
    <w:rsid w:val="00B4623E"/>
    <w:rsid w:val="00B46FE3"/>
    <w:rsid w:val="00B471C7"/>
    <w:rsid w:val="00B5091E"/>
    <w:rsid w:val="00B50EBD"/>
    <w:rsid w:val="00B5131D"/>
    <w:rsid w:val="00B53A5A"/>
    <w:rsid w:val="00B55A2A"/>
    <w:rsid w:val="00B5799A"/>
    <w:rsid w:val="00B60143"/>
    <w:rsid w:val="00B62D92"/>
    <w:rsid w:val="00B64332"/>
    <w:rsid w:val="00B65522"/>
    <w:rsid w:val="00B6778E"/>
    <w:rsid w:val="00B71F49"/>
    <w:rsid w:val="00B724A5"/>
    <w:rsid w:val="00B74C05"/>
    <w:rsid w:val="00B753CC"/>
    <w:rsid w:val="00B7793A"/>
    <w:rsid w:val="00B80452"/>
    <w:rsid w:val="00B81E23"/>
    <w:rsid w:val="00B84DD2"/>
    <w:rsid w:val="00B907BC"/>
    <w:rsid w:val="00B9159B"/>
    <w:rsid w:val="00B915AF"/>
    <w:rsid w:val="00B92889"/>
    <w:rsid w:val="00B92E6B"/>
    <w:rsid w:val="00B93086"/>
    <w:rsid w:val="00B94827"/>
    <w:rsid w:val="00B97442"/>
    <w:rsid w:val="00BA0942"/>
    <w:rsid w:val="00BA0F42"/>
    <w:rsid w:val="00BA19ED"/>
    <w:rsid w:val="00BA300B"/>
    <w:rsid w:val="00BA4B8D"/>
    <w:rsid w:val="00BA4F78"/>
    <w:rsid w:val="00BA6B3A"/>
    <w:rsid w:val="00BB0CC4"/>
    <w:rsid w:val="00BB1A37"/>
    <w:rsid w:val="00BB22A8"/>
    <w:rsid w:val="00BB306C"/>
    <w:rsid w:val="00BB3B7A"/>
    <w:rsid w:val="00BB4783"/>
    <w:rsid w:val="00BC0186"/>
    <w:rsid w:val="00BC0F7D"/>
    <w:rsid w:val="00BC1C56"/>
    <w:rsid w:val="00BC1D8D"/>
    <w:rsid w:val="00BC22E8"/>
    <w:rsid w:val="00BC371B"/>
    <w:rsid w:val="00BC4B89"/>
    <w:rsid w:val="00BC567A"/>
    <w:rsid w:val="00BC5C19"/>
    <w:rsid w:val="00BC7B0D"/>
    <w:rsid w:val="00BD0B2C"/>
    <w:rsid w:val="00BD0FE0"/>
    <w:rsid w:val="00BD74DF"/>
    <w:rsid w:val="00BD7CA8"/>
    <w:rsid w:val="00BE1F22"/>
    <w:rsid w:val="00BE3255"/>
    <w:rsid w:val="00BE60A9"/>
    <w:rsid w:val="00BE6B90"/>
    <w:rsid w:val="00BF07F2"/>
    <w:rsid w:val="00BF128E"/>
    <w:rsid w:val="00BF16AD"/>
    <w:rsid w:val="00BF44CD"/>
    <w:rsid w:val="00BF4736"/>
    <w:rsid w:val="00BF4B52"/>
    <w:rsid w:val="00BF607C"/>
    <w:rsid w:val="00C01A00"/>
    <w:rsid w:val="00C031FD"/>
    <w:rsid w:val="00C04291"/>
    <w:rsid w:val="00C048B3"/>
    <w:rsid w:val="00C062B4"/>
    <w:rsid w:val="00C06FFA"/>
    <w:rsid w:val="00C07C61"/>
    <w:rsid w:val="00C07DD1"/>
    <w:rsid w:val="00C10F2A"/>
    <w:rsid w:val="00C13411"/>
    <w:rsid w:val="00C1496A"/>
    <w:rsid w:val="00C14C88"/>
    <w:rsid w:val="00C15F1C"/>
    <w:rsid w:val="00C232EF"/>
    <w:rsid w:val="00C33079"/>
    <w:rsid w:val="00C41DE2"/>
    <w:rsid w:val="00C428CF"/>
    <w:rsid w:val="00C43DCD"/>
    <w:rsid w:val="00C45231"/>
    <w:rsid w:val="00C4537F"/>
    <w:rsid w:val="00C45F09"/>
    <w:rsid w:val="00C4680F"/>
    <w:rsid w:val="00C4696B"/>
    <w:rsid w:val="00C60886"/>
    <w:rsid w:val="00C60E0A"/>
    <w:rsid w:val="00C61D1C"/>
    <w:rsid w:val="00C62D92"/>
    <w:rsid w:val="00C66641"/>
    <w:rsid w:val="00C679F4"/>
    <w:rsid w:val="00C67FA4"/>
    <w:rsid w:val="00C70852"/>
    <w:rsid w:val="00C72344"/>
    <w:rsid w:val="00C72833"/>
    <w:rsid w:val="00C72CC0"/>
    <w:rsid w:val="00C74BA5"/>
    <w:rsid w:val="00C80F1D"/>
    <w:rsid w:val="00C81A25"/>
    <w:rsid w:val="00C857B6"/>
    <w:rsid w:val="00C875FE"/>
    <w:rsid w:val="00C912C4"/>
    <w:rsid w:val="00C93BFD"/>
    <w:rsid w:val="00C93F40"/>
    <w:rsid w:val="00C9406B"/>
    <w:rsid w:val="00C9496B"/>
    <w:rsid w:val="00C977EB"/>
    <w:rsid w:val="00CA3D0C"/>
    <w:rsid w:val="00CA7AC2"/>
    <w:rsid w:val="00CB1C9F"/>
    <w:rsid w:val="00CB285D"/>
    <w:rsid w:val="00CB3795"/>
    <w:rsid w:val="00CB3AB8"/>
    <w:rsid w:val="00CB5189"/>
    <w:rsid w:val="00CB5386"/>
    <w:rsid w:val="00CB5F29"/>
    <w:rsid w:val="00CB74DF"/>
    <w:rsid w:val="00CC3848"/>
    <w:rsid w:val="00CC4A57"/>
    <w:rsid w:val="00CD07C6"/>
    <w:rsid w:val="00CD647F"/>
    <w:rsid w:val="00CD7151"/>
    <w:rsid w:val="00CD78CC"/>
    <w:rsid w:val="00CE029B"/>
    <w:rsid w:val="00CE1599"/>
    <w:rsid w:val="00CE1D83"/>
    <w:rsid w:val="00CE60D8"/>
    <w:rsid w:val="00CE6AE3"/>
    <w:rsid w:val="00CE7214"/>
    <w:rsid w:val="00CF20E3"/>
    <w:rsid w:val="00CF23F2"/>
    <w:rsid w:val="00CF244A"/>
    <w:rsid w:val="00CF2F3C"/>
    <w:rsid w:val="00CF4411"/>
    <w:rsid w:val="00CF5290"/>
    <w:rsid w:val="00D010CB"/>
    <w:rsid w:val="00D017AE"/>
    <w:rsid w:val="00D019E3"/>
    <w:rsid w:val="00D04091"/>
    <w:rsid w:val="00D05BF1"/>
    <w:rsid w:val="00D060B3"/>
    <w:rsid w:val="00D0708E"/>
    <w:rsid w:val="00D07831"/>
    <w:rsid w:val="00D10D66"/>
    <w:rsid w:val="00D10FF7"/>
    <w:rsid w:val="00D11E6A"/>
    <w:rsid w:val="00D127C0"/>
    <w:rsid w:val="00D131EC"/>
    <w:rsid w:val="00D15BBA"/>
    <w:rsid w:val="00D15E6B"/>
    <w:rsid w:val="00D16262"/>
    <w:rsid w:val="00D1720A"/>
    <w:rsid w:val="00D172FF"/>
    <w:rsid w:val="00D25919"/>
    <w:rsid w:val="00D25D92"/>
    <w:rsid w:val="00D268B7"/>
    <w:rsid w:val="00D27E01"/>
    <w:rsid w:val="00D309CC"/>
    <w:rsid w:val="00D31E74"/>
    <w:rsid w:val="00D35C48"/>
    <w:rsid w:val="00D36D27"/>
    <w:rsid w:val="00D40761"/>
    <w:rsid w:val="00D414E1"/>
    <w:rsid w:val="00D4439D"/>
    <w:rsid w:val="00D453CD"/>
    <w:rsid w:val="00D45E83"/>
    <w:rsid w:val="00D46060"/>
    <w:rsid w:val="00D463FE"/>
    <w:rsid w:val="00D46431"/>
    <w:rsid w:val="00D468B9"/>
    <w:rsid w:val="00D46EDF"/>
    <w:rsid w:val="00D51B0F"/>
    <w:rsid w:val="00D52405"/>
    <w:rsid w:val="00D56A52"/>
    <w:rsid w:val="00D57972"/>
    <w:rsid w:val="00D60946"/>
    <w:rsid w:val="00D646F5"/>
    <w:rsid w:val="00D647F0"/>
    <w:rsid w:val="00D656EB"/>
    <w:rsid w:val="00D65F45"/>
    <w:rsid w:val="00D672B3"/>
    <w:rsid w:val="00D675A9"/>
    <w:rsid w:val="00D701E6"/>
    <w:rsid w:val="00D738D6"/>
    <w:rsid w:val="00D7445B"/>
    <w:rsid w:val="00D755EB"/>
    <w:rsid w:val="00D76591"/>
    <w:rsid w:val="00D77160"/>
    <w:rsid w:val="00D80129"/>
    <w:rsid w:val="00D813B1"/>
    <w:rsid w:val="00D81631"/>
    <w:rsid w:val="00D82699"/>
    <w:rsid w:val="00D83F4D"/>
    <w:rsid w:val="00D84260"/>
    <w:rsid w:val="00D87E00"/>
    <w:rsid w:val="00D907F9"/>
    <w:rsid w:val="00D9134D"/>
    <w:rsid w:val="00D93120"/>
    <w:rsid w:val="00D93AF6"/>
    <w:rsid w:val="00D940CF"/>
    <w:rsid w:val="00D947CD"/>
    <w:rsid w:val="00D96048"/>
    <w:rsid w:val="00D97D53"/>
    <w:rsid w:val="00DA0548"/>
    <w:rsid w:val="00DA116B"/>
    <w:rsid w:val="00DA69A5"/>
    <w:rsid w:val="00DA76F2"/>
    <w:rsid w:val="00DA7A03"/>
    <w:rsid w:val="00DB12EC"/>
    <w:rsid w:val="00DB1818"/>
    <w:rsid w:val="00DB50F8"/>
    <w:rsid w:val="00DC0E51"/>
    <w:rsid w:val="00DC156C"/>
    <w:rsid w:val="00DC1E1A"/>
    <w:rsid w:val="00DC309B"/>
    <w:rsid w:val="00DC4DA2"/>
    <w:rsid w:val="00DC6616"/>
    <w:rsid w:val="00DD4C17"/>
    <w:rsid w:val="00DD5B05"/>
    <w:rsid w:val="00DD5D25"/>
    <w:rsid w:val="00DD7311"/>
    <w:rsid w:val="00DD7FF2"/>
    <w:rsid w:val="00DE15B7"/>
    <w:rsid w:val="00DE3870"/>
    <w:rsid w:val="00DE5CB6"/>
    <w:rsid w:val="00DE6E17"/>
    <w:rsid w:val="00DF155E"/>
    <w:rsid w:val="00DF2B1F"/>
    <w:rsid w:val="00DF6189"/>
    <w:rsid w:val="00DF62CD"/>
    <w:rsid w:val="00DF733D"/>
    <w:rsid w:val="00E000D6"/>
    <w:rsid w:val="00E022DB"/>
    <w:rsid w:val="00E033B1"/>
    <w:rsid w:val="00E034CF"/>
    <w:rsid w:val="00E03895"/>
    <w:rsid w:val="00E057D0"/>
    <w:rsid w:val="00E06ECF"/>
    <w:rsid w:val="00E11770"/>
    <w:rsid w:val="00E11E42"/>
    <w:rsid w:val="00E125F2"/>
    <w:rsid w:val="00E13876"/>
    <w:rsid w:val="00E13ACD"/>
    <w:rsid w:val="00E14D1B"/>
    <w:rsid w:val="00E161A3"/>
    <w:rsid w:val="00E163F9"/>
    <w:rsid w:val="00E16509"/>
    <w:rsid w:val="00E168E8"/>
    <w:rsid w:val="00E17517"/>
    <w:rsid w:val="00E17B16"/>
    <w:rsid w:val="00E17B2C"/>
    <w:rsid w:val="00E216D7"/>
    <w:rsid w:val="00E22181"/>
    <w:rsid w:val="00E2397C"/>
    <w:rsid w:val="00E31A28"/>
    <w:rsid w:val="00E341F7"/>
    <w:rsid w:val="00E34C44"/>
    <w:rsid w:val="00E35166"/>
    <w:rsid w:val="00E3557D"/>
    <w:rsid w:val="00E4054F"/>
    <w:rsid w:val="00E44582"/>
    <w:rsid w:val="00E446E0"/>
    <w:rsid w:val="00E451CB"/>
    <w:rsid w:val="00E45CA3"/>
    <w:rsid w:val="00E507ED"/>
    <w:rsid w:val="00E518AF"/>
    <w:rsid w:val="00E51F83"/>
    <w:rsid w:val="00E52814"/>
    <w:rsid w:val="00E53182"/>
    <w:rsid w:val="00E542BC"/>
    <w:rsid w:val="00E5541B"/>
    <w:rsid w:val="00E55888"/>
    <w:rsid w:val="00E57611"/>
    <w:rsid w:val="00E6138C"/>
    <w:rsid w:val="00E61B6D"/>
    <w:rsid w:val="00E62991"/>
    <w:rsid w:val="00E6571D"/>
    <w:rsid w:val="00E65AAE"/>
    <w:rsid w:val="00E67970"/>
    <w:rsid w:val="00E7095F"/>
    <w:rsid w:val="00E72324"/>
    <w:rsid w:val="00E72ABE"/>
    <w:rsid w:val="00E75C1B"/>
    <w:rsid w:val="00E76BD1"/>
    <w:rsid w:val="00E76DB3"/>
    <w:rsid w:val="00E77364"/>
    <w:rsid w:val="00E775CC"/>
    <w:rsid w:val="00E77645"/>
    <w:rsid w:val="00E803C2"/>
    <w:rsid w:val="00E80DE4"/>
    <w:rsid w:val="00E83A08"/>
    <w:rsid w:val="00E84506"/>
    <w:rsid w:val="00E84D1D"/>
    <w:rsid w:val="00E8577E"/>
    <w:rsid w:val="00E8624B"/>
    <w:rsid w:val="00E86B02"/>
    <w:rsid w:val="00E90937"/>
    <w:rsid w:val="00E909D4"/>
    <w:rsid w:val="00E90F6A"/>
    <w:rsid w:val="00E91C9A"/>
    <w:rsid w:val="00E922EA"/>
    <w:rsid w:val="00E92F48"/>
    <w:rsid w:val="00E942AE"/>
    <w:rsid w:val="00E9743E"/>
    <w:rsid w:val="00E97D12"/>
    <w:rsid w:val="00EA0436"/>
    <w:rsid w:val="00EA1077"/>
    <w:rsid w:val="00EA3376"/>
    <w:rsid w:val="00EA6749"/>
    <w:rsid w:val="00EB0C57"/>
    <w:rsid w:val="00EB2168"/>
    <w:rsid w:val="00EB22F4"/>
    <w:rsid w:val="00EB387E"/>
    <w:rsid w:val="00EB3FEC"/>
    <w:rsid w:val="00EB6C91"/>
    <w:rsid w:val="00EB79D3"/>
    <w:rsid w:val="00EC14EF"/>
    <w:rsid w:val="00EC3517"/>
    <w:rsid w:val="00EC4A25"/>
    <w:rsid w:val="00EC62E5"/>
    <w:rsid w:val="00EC6B55"/>
    <w:rsid w:val="00EC7900"/>
    <w:rsid w:val="00ED03E6"/>
    <w:rsid w:val="00ED0967"/>
    <w:rsid w:val="00ED2EDC"/>
    <w:rsid w:val="00ED4B32"/>
    <w:rsid w:val="00ED73DF"/>
    <w:rsid w:val="00EE06A9"/>
    <w:rsid w:val="00EE184F"/>
    <w:rsid w:val="00EE5AA7"/>
    <w:rsid w:val="00EF26B6"/>
    <w:rsid w:val="00EF587C"/>
    <w:rsid w:val="00EF6FF0"/>
    <w:rsid w:val="00F015A4"/>
    <w:rsid w:val="00F01D86"/>
    <w:rsid w:val="00F025A2"/>
    <w:rsid w:val="00F04712"/>
    <w:rsid w:val="00F05221"/>
    <w:rsid w:val="00F06786"/>
    <w:rsid w:val="00F06EF8"/>
    <w:rsid w:val="00F072D4"/>
    <w:rsid w:val="00F07EDC"/>
    <w:rsid w:val="00F100F2"/>
    <w:rsid w:val="00F129F5"/>
    <w:rsid w:val="00F139D9"/>
    <w:rsid w:val="00F14795"/>
    <w:rsid w:val="00F1522E"/>
    <w:rsid w:val="00F16096"/>
    <w:rsid w:val="00F16143"/>
    <w:rsid w:val="00F21311"/>
    <w:rsid w:val="00F215B2"/>
    <w:rsid w:val="00F22EC7"/>
    <w:rsid w:val="00F273D3"/>
    <w:rsid w:val="00F27CC9"/>
    <w:rsid w:val="00F314DF"/>
    <w:rsid w:val="00F324C7"/>
    <w:rsid w:val="00F325C8"/>
    <w:rsid w:val="00F35577"/>
    <w:rsid w:val="00F366CB"/>
    <w:rsid w:val="00F369DD"/>
    <w:rsid w:val="00F37626"/>
    <w:rsid w:val="00F40EAB"/>
    <w:rsid w:val="00F44AA2"/>
    <w:rsid w:val="00F44D05"/>
    <w:rsid w:val="00F45ED8"/>
    <w:rsid w:val="00F50255"/>
    <w:rsid w:val="00F51BD3"/>
    <w:rsid w:val="00F52B70"/>
    <w:rsid w:val="00F52C27"/>
    <w:rsid w:val="00F53958"/>
    <w:rsid w:val="00F5402A"/>
    <w:rsid w:val="00F54676"/>
    <w:rsid w:val="00F5525D"/>
    <w:rsid w:val="00F55754"/>
    <w:rsid w:val="00F571D3"/>
    <w:rsid w:val="00F614AC"/>
    <w:rsid w:val="00F62AEB"/>
    <w:rsid w:val="00F64319"/>
    <w:rsid w:val="00F653B8"/>
    <w:rsid w:val="00F655F3"/>
    <w:rsid w:val="00F65781"/>
    <w:rsid w:val="00F65EBA"/>
    <w:rsid w:val="00F67E8B"/>
    <w:rsid w:val="00F67EE8"/>
    <w:rsid w:val="00F70647"/>
    <w:rsid w:val="00F7204E"/>
    <w:rsid w:val="00F7302D"/>
    <w:rsid w:val="00F73852"/>
    <w:rsid w:val="00F81946"/>
    <w:rsid w:val="00F81A27"/>
    <w:rsid w:val="00F8214F"/>
    <w:rsid w:val="00F83432"/>
    <w:rsid w:val="00F8688A"/>
    <w:rsid w:val="00F87A6E"/>
    <w:rsid w:val="00F90B8B"/>
    <w:rsid w:val="00F92A6F"/>
    <w:rsid w:val="00F9377C"/>
    <w:rsid w:val="00F950C3"/>
    <w:rsid w:val="00F95EDB"/>
    <w:rsid w:val="00F96804"/>
    <w:rsid w:val="00F96B75"/>
    <w:rsid w:val="00F97163"/>
    <w:rsid w:val="00F97D2F"/>
    <w:rsid w:val="00FA0DFF"/>
    <w:rsid w:val="00FA1266"/>
    <w:rsid w:val="00FA46B2"/>
    <w:rsid w:val="00FA7625"/>
    <w:rsid w:val="00FA77A1"/>
    <w:rsid w:val="00FB03C5"/>
    <w:rsid w:val="00FB52FC"/>
    <w:rsid w:val="00FB7AD7"/>
    <w:rsid w:val="00FC1192"/>
    <w:rsid w:val="00FC133C"/>
    <w:rsid w:val="00FC259F"/>
    <w:rsid w:val="00FC3591"/>
    <w:rsid w:val="00FC7900"/>
    <w:rsid w:val="00FD0B94"/>
    <w:rsid w:val="00FD1D29"/>
    <w:rsid w:val="00FD356E"/>
    <w:rsid w:val="00FD3E04"/>
    <w:rsid w:val="00FD53F3"/>
    <w:rsid w:val="00FD6FA7"/>
    <w:rsid w:val="00FD72D1"/>
    <w:rsid w:val="00FE1E3B"/>
    <w:rsid w:val="00FE2D04"/>
    <w:rsid w:val="00FE3EF3"/>
    <w:rsid w:val="00FE4CDB"/>
    <w:rsid w:val="00FE63B0"/>
    <w:rsid w:val="00FE6A46"/>
    <w:rsid w:val="00FF62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5" w:qFormat="1"/>
    <w:lsdException w:name="Title" w:qFormat="1"/>
    <w:lsdException w:name="Body Text"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character" w:customStyle="1" w:styleId="THChar">
    <w:name w:val="TH Char"/>
    <w:link w:val="TH"/>
    <w:qFormat/>
    <w:rsid w:val="00900A09"/>
    <w:rPr>
      <w:rFonts w:ascii="Arial" w:hAnsi="Arial"/>
      <w:b/>
      <w:lang w:eastAsia="en-US"/>
    </w:rPr>
  </w:style>
  <w:style w:type="paragraph" w:styleId="NormalWeb">
    <w:name w:val="Normal (Web)"/>
    <w:basedOn w:val="Normal"/>
    <w:uiPriority w:val="99"/>
    <w:rsid w:val="00FC7900"/>
    <w:rPr>
      <w:sz w:val="24"/>
      <w:szCs w:val="24"/>
    </w:rPr>
  </w:style>
  <w:style w:type="paragraph" w:customStyle="1" w:styleId="CRCoverPage">
    <w:name w:val="CR Cover Page"/>
    <w:link w:val="CRCoverPageChar"/>
    <w:qFormat/>
    <w:rsid w:val="00056B4F"/>
    <w:pPr>
      <w:spacing w:after="120"/>
    </w:pPr>
    <w:rPr>
      <w:rFonts w:ascii="Arial" w:eastAsia="Malgun Gothic" w:hAnsi="Arial"/>
      <w:lang w:eastAsia="ko-KR"/>
    </w:rPr>
  </w:style>
  <w:style w:type="character" w:customStyle="1" w:styleId="CRCoverPageChar">
    <w:name w:val="CR Cover Page Char"/>
    <w:link w:val="CRCoverPage"/>
    <w:qFormat/>
    <w:rsid w:val="00056B4F"/>
    <w:rPr>
      <w:rFonts w:ascii="Arial" w:eastAsia="Malgun Gothic" w:hAnsi="Arial"/>
      <w:lang w:eastAsia="ko-KR"/>
    </w:rPr>
  </w:style>
  <w:style w:type="paragraph" w:styleId="BodyText">
    <w:name w:val="Body Text"/>
    <w:basedOn w:val="Normal"/>
    <w:link w:val="BodyTextChar"/>
    <w:qFormat/>
    <w:rsid w:val="00607527"/>
    <w:pPr>
      <w:spacing w:after="120"/>
    </w:pPr>
    <w:rPr>
      <w:rFonts w:eastAsia="Malgun Gothic"/>
    </w:rPr>
  </w:style>
  <w:style w:type="character" w:customStyle="1" w:styleId="BodyTextChar">
    <w:name w:val="Body Text Char"/>
    <w:basedOn w:val="DefaultParagraphFont"/>
    <w:link w:val="BodyText"/>
    <w:rsid w:val="00607527"/>
    <w:rPr>
      <w:rFonts w:eastAsia="Malgun Gothic"/>
      <w:lang w:eastAsia="en-US"/>
    </w:rPr>
  </w:style>
  <w:style w:type="paragraph" w:customStyle="1" w:styleId="-">
    <w:name w:val="기고리뷰 - 섹션"/>
    <w:basedOn w:val="Normal"/>
    <w:rsid w:val="00607527"/>
    <w:pPr>
      <w:numPr>
        <w:numId w:val="15"/>
      </w:numPr>
      <w:spacing w:after="0"/>
    </w:pPr>
    <w:rPr>
      <w:rFonts w:eastAsia="Malgun Gothic"/>
    </w:rPr>
  </w:style>
  <w:style w:type="paragraph" w:styleId="ListBullet5">
    <w:name w:val="List Bullet 5"/>
    <w:basedOn w:val="ListBullet4"/>
    <w:qFormat/>
    <w:rsid w:val="004E03DB"/>
    <w:pPr>
      <w:numPr>
        <w:numId w:val="0"/>
      </w:numPr>
      <w:overflowPunct w:val="0"/>
      <w:autoSpaceDE w:val="0"/>
      <w:autoSpaceDN w:val="0"/>
      <w:adjustRightInd w:val="0"/>
      <w:ind w:left="1702" w:hanging="284"/>
      <w:contextualSpacing w:val="0"/>
      <w:textAlignment w:val="baseline"/>
    </w:pPr>
    <w:rPr>
      <w:lang w:eastAsia="en-GB"/>
    </w:rPr>
  </w:style>
  <w:style w:type="paragraph" w:styleId="ListBullet4">
    <w:name w:val="List Bullet 4"/>
    <w:basedOn w:val="Normal"/>
    <w:rsid w:val="004E03DB"/>
    <w:pPr>
      <w:numPr>
        <w:numId w:val="16"/>
      </w:numPr>
      <w:tabs>
        <w:tab w:val="num" w:pos="1209"/>
      </w:tabs>
      <w:ind w:left="1209"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93868728">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420371989">
      <w:bodyDiv w:val="1"/>
      <w:marLeft w:val="0"/>
      <w:marRight w:val="0"/>
      <w:marTop w:val="0"/>
      <w:marBottom w:val="0"/>
      <w:divBdr>
        <w:top w:val="none" w:sz="0" w:space="0" w:color="auto"/>
        <w:left w:val="none" w:sz="0" w:space="0" w:color="auto"/>
        <w:bottom w:val="none" w:sz="0" w:space="0" w:color="auto"/>
        <w:right w:val="none" w:sz="0" w:space="0" w:color="auto"/>
      </w:divBdr>
    </w:div>
    <w:div w:id="511653857">
      <w:bodyDiv w:val="1"/>
      <w:marLeft w:val="0"/>
      <w:marRight w:val="0"/>
      <w:marTop w:val="0"/>
      <w:marBottom w:val="0"/>
      <w:divBdr>
        <w:top w:val="none" w:sz="0" w:space="0" w:color="auto"/>
        <w:left w:val="none" w:sz="0" w:space="0" w:color="auto"/>
        <w:bottom w:val="none" w:sz="0" w:space="0" w:color="auto"/>
        <w:right w:val="none" w:sz="0" w:space="0" w:color="auto"/>
      </w:divBdr>
    </w:div>
    <w:div w:id="962268224">
      <w:bodyDiv w:val="1"/>
      <w:marLeft w:val="0"/>
      <w:marRight w:val="0"/>
      <w:marTop w:val="0"/>
      <w:marBottom w:val="0"/>
      <w:divBdr>
        <w:top w:val="none" w:sz="0" w:space="0" w:color="auto"/>
        <w:left w:val="none" w:sz="0" w:space="0" w:color="auto"/>
        <w:bottom w:val="none" w:sz="0" w:space="0" w:color="auto"/>
        <w:right w:val="none" w:sz="0" w:space="0" w:color="auto"/>
      </w:divBdr>
    </w:div>
    <w:div w:id="983895209">
      <w:bodyDiv w:val="1"/>
      <w:marLeft w:val="0"/>
      <w:marRight w:val="0"/>
      <w:marTop w:val="0"/>
      <w:marBottom w:val="0"/>
      <w:divBdr>
        <w:top w:val="none" w:sz="0" w:space="0" w:color="auto"/>
        <w:left w:val="none" w:sz="0" w:space="0" w:color="auto"/>
        <w:bottom w:val="none" w:sz="0" w:space="0" w:color="auto"/>
        <w:right w:val="none" w:sz="0" w:space="0" w:color="auto"/>
      </w:divBdr>
    </w:div>
    <w:div w:id="1062027320">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457604112">
      <w:bodyDiv w:val="1"/>
      <w:marLeft w:val="0"/>
      <w:marRight w:val="0"/>
      <w:marTop w:val="0"/>
      <w:marBottom w:val="0"/>
      <w:divBdr>
        <w:top w:val="none" w:sz="0" w:space="0" w:color="auto"/>
        <w:left w:val="none" w:sz="0" w:space="0" w:color="auto"/>
        <w:bottom w:val="none" w:sz="0" w:space="0" w:color="auto"/>
        <w:right w:val="none" w:sz="0" w:space="0" w:color="auto"/>
      </w:divBdr>
      <w:divsChild>
        <w:div w:id="12048289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8750117">
              <w:marLeft w:val="0"/>
              <w:marRight w:val="0"/>
              <w:marTop w:val="0"/>
              <w:marBottom w:val="0"/>
              <w:divBdr>
                <w:top w:val="none" w:sz="0" w:space="0" w:color="auto"/>
                <w:left w:val="none" w:sz="0" w:space="0" w:color="auto"/>
                <w:bottom w:val="none" w:sz="0" w:space="0" w:color="auto"/>
                <w:right w:val="none" w:sz="0" w:space="0" w:color="auto"/>
              </w:divBdr>
              <w:divsChild>
                <w:div w:id="2039428938">
                  <w:marLeft w:val="0"/>
                  <w:marRight w:val="0"/>
                  <w:marTop w:val="0"/>
                  <w:marBottom w:val="0"/>
                  <w:divBdr>
                    <w:top w:val="none" w:sz="0" w:space="0" w:color="auto"/>
                    <w:left w:val="none" w:sz="0" w:space="0" w:color="auto"/>
                    <w:bottom w:val="none" w:sz="0" w:space="0" w:color="auto"/>
                    <w:right w:val="none" w:sz="0" w:space="0" w:color="auto"/>
                  </w:divBdr>
                  <w:divsChild>
                    <w:div w:id="1654799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5120617">
      <w:bodyDiv w:val="1"/>
      <w:marLeft w:val="0"/>
      <w:marRight w:val="0"/>
      <w:marTop w:val="0"/>
      <w:marBottom w:val="0"/>
      <w:divBdr>
        <w:top w:val="none" w:sz="0" w:space="0" w:color="auto"/>
        <w:left w:val="none" w:sz="0" w:space="0" w:color="auto"/>
        <w:bottom w:val="none" w:sz="0" w:space="0" w:color="auto"/>
        <w:right w:val="none" w:sz="0" w:space="0" w:color="auto"/>
      </w:divBdr>
    </w:div>
    <w:div w:id="1527014476">
      <w:bodyDiv w:val="1"/>
      <w:marLeft w:val="0"/>
      <w:marRight w:val="0"/>
      <w:marTop w:val="0"/>
      <w:marBottom w:val="0"/>
      <w:divBdr>
        <w:top w:val="none" w:sz="0" w:space="0" w:color="auto"/>
        <w:left w:val="none" w:sz="0" w:space="0" w:color="auto"/>
        <w:bottom w:val="none" w:sz="0" w:space="0" w:color="auto"/>
        <w:right w:val="none" w:sz="0" w:space="0" w:color="auto"/>
      </w:divBdr>
      <w:divsChild>
        <w:div w:id="577791259">
          <w:marLeft w:val="0"/>
          <w:marRight w:val="0"/>
          <w:marTop w:val="0"/>
          <w:marBottom w:val="0"/>
          <w:divBdr>
            <w:top w:val="none" w:sz="0" w:space="0" w:color="auto"/>
            <w:left w:val="none" w:sz="0" w:space="0" w:color="auto"/>
            <w:bottom w:val="none" w:sz="0" w:space="0" w:color="auto"/>
            <w:right w:val="none" w:sz="0" w:space="0" w:color="auto"/>
          </w:divBdr>
          <w:divsChild>
            <w:div w:id="622854685">
              <w:marLeft w:val="0"/>
              <w:marRight w:val="0"/>
              <w:marTop w:val="0"/>
              <w:marBottom w:val="0"/>
              <w:divBdr>
                <w:top w:val="none" w:sz="0" w:space="0" w:color="auto"/>
                <w:left w:val="none" w:sz="0" w:space="0" w:color="auto"/>
                <w:bottom w:val="none" w:sz="0" w:space="0" w:color="auto"/>
                <w:right w:val="none" w:sz="0" w:space="0" w:color="auto"/>
              </w:divBdr>
              <w:divsChild>
                <w:div w:id="1620916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9051628">
      <w:bodyDiv w:val="1"/>
      <w:marLeft w:val="0"/>
      <w:marRight w:val="0"/>
      <w:marTop w:val="0"/>
      <w:marBottom w:val="0"/>
      <w:divBdr>
        <w:top w:val="none" w:sz="0" w:space="0" w:color="auto"/>
        <w:left w:val="none" w:sz="0" w:space="0" w:color="auto"/>
        <w:bottom w:val="none" w:sz="0" w:space="0" w:color="auto"/>
        <w:right w:val="none" w:sz="0" w:space="0" w:color="auto"/>
      </w:divBdr>
    </w:div>
    <w:div w:id="1677878240">
      <w:bodyDiv w:val="1"/>
      <w:marLeft w:val="0"/>
      <w:marRight w:val="0"/>
      <w:marTop w:val="0"/>
      <w:marBottom w:val="0"/>
      <w:divBdr>
        <w:top w:val="none" w:sz="0" w:space="0" w:color="auto"/>
        <w:left w:val="none" w:sz="0" w:space="0" w:color="auto"/>
        <w:bottom w:val="none" w:sz="0" w:space="0" w:color="auto"/>
        <w:right w:val="none" w:sz="0" w:space="0" w:color="auto"/>
      </w:divBdr>
    </w:div>
    <w:div w:id="1817139509">
      <w:bodyDiv w:val="1"/>
      <w:marLeft w:val="0"/>
      <w:marRight w:val="0"/>
      <w:marTop w:val="0"/>
      <w:marBottom w:val="0"/>
      <w:divBdr>
        <w:top w:val="none" w:sz="0" w:space="0" w:color="auto"/>
        <w:left w:val="none" w:sz="0" w:space="0" w:color="auto"/>
        <w:bottom w:val="none" w:sz="0" w:space="0" w:color="auto"/>
        <w:right w:val="none" w:sz="0" w:space="0" w:color="auto"/>
      </w:divBdr>
      <w:divsChild>
        <w:div w:id="5231350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191683">
              <w:marLeft w:val="0"/>
              <w:marRight w:val="0"/>
              <w:marTop w:val="0"/>
              <w:marBottom w:val="0"/>
              <w:divBdr>
                <w:top w:val="none" w:sz="0" w:space="0" w:color="auto"/>
                <w:left w:val="none" w:sz="0" w:space="0" w:color="auto"/>
                <w:bottom w:val="none" w:sz="0" w:space="0" w:color="auto"/>
                <w:right w:val="none" w:sz="0" w:space="0" w:color="auto"/>
              </w:divBdr>
              <w:divsChild>
                <w:div w:id="671570950">
                  <w:marLeft w:val="0"/>
                  <w:marRight w:val="0"/>
                  <w:marTop w:val="0"/>
                  <w:marBottom w:val="0"/>
                  <w:divBdr>
                    <w:top w:val="none" w:sz="0" w:space="0" w:color="auto"/>
                    <w:left w:val="none" w:sz="0" w:space="0" w:color="auto"/>
                    <w:bottom w:val="none" w:sz="0" w:space="0" w:color="auto"/>
                    <w:right w:val="none" w:sz="0" w:space="0" w:color="auto"/>
                  </w:divBdr>
                  <w:divsChild>
                    <w:div w:id="40345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3889</TotalTime>
  <Pages>3</Pages>
  <Words>786</Words>
  <Characters>4486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5262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878</cp:revision>
  <cp:lastPrinted>2019-02-25T14:05:00Z</cp:lastPrinted>
  <dcterms:created xsi:type="dcterms:W3CDTF">2020-02-11T14:49:00Z</dcterms:created>
  <dcterms:modified xsi:type="dcterms:W3CDTF">2025-02-07T14:49:00Z</dcterms:modified>
  <cp:category/>
</cp:coreProperties>
</file>